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E2B09">
      <w:pPr>
        <w:spacing w:line="54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安康市人民政府关于印发</w:t>
      </w:r>
    </w:p>
    <w:p w14:paraId="2F28EA47">
      <w:pPr>
        <w:overflowPunct w:val="0"/>
        <w:topLinePunct/>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全市国民经济和社会发展第十五个</w:t>
      </w:r>
    </w:p>
    <w:p w14:paraId="1DEAD74D">
      <w:pPr>
        <w:overflowPunct w:val="0"/>
        <w:topLinePunct/>
        <w:spacing w:line="560" w:lineRule="exact"/>
        <w:jc w:val="center"/>
        <w:rPr>
          <w:rFonts w:ascii="方正小标宋简体" w:hAnsi="方正小标宋简体" w:eastAsia="方正小标宋简体" w:cs="方正小标宋简体"/>
          <w:color w:val="000000"/>
          <w:sz w:val="44"/>
          <w:szCs w:val="44"/>
          <w14:textOutline w14:w="12700" w14:cmpd="sng">
            <w14:solidFill>
              <w14:srgbClr w14:val="FF0000">
                <w14:alpha w14:val="0"/>
              </w14:srgbClr>
            </w14:solidFill>
            <w14:prstDash w14:val="solid"/>
            <w14:round/>
          </w14:textOutline>
        </w:rPr>
      </w:pPr>
      <w:r>
        <w:rPr>
          <w:rFonts w:hint="eastAsia" w:ascii="方正小标宋简体" w:hAnsi="方正小标宋简体" w:eastAsia="方正小标宋简体" w:cs="方正小标宋简体"/>
          <w:color w:val="000000"/>
          <w:sz w:val="44"/>
          <w:szCs w:val="44"/>
        </w:rPr>
        <w:t>五年规划纲要的通知</w:t>
      </w:r>
    </w:p>
    <w:p w14:paraId="00862F90">
      <w:pPr>
        <w:overflowPunct w:val="0"/>
        <w:topLinePunct/>
        <w:spacing w:line="560" w:lineRule="exact"/>
        <w:rPr>
          <w:rFonts w:ascii="仿宋_GB2312" w:hAnsi="仿宋_GB2312" w:eastAsia="仿宋_GB2312" w:cs="仿宋_GB2312"/>
          <w:color w:val="000000"/>
          <w:sz w:val="32"/>
          <w:szCs w:val="32"/>
        </w:rPr>
      </w:pPr>
    </w:p>
    <w:p w14:paraId="3FD6FD40">
      <w:pPr>
        <w:overflowPunct w:val="0"/>
        <w:topLinePunct/>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各县（市、区）人民政府，市政府各工作部门、直属机构：</w:t>
      </w:r>
    </w:p>
    <w:p w14:paraId="182DF8D0">
      <w:pPr>
        <w:overflowPunct w:val="0"/>
        <w:topLinePunct/>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《安康市国民经济和社会发展第十五个五年规划纲要》已经市五届人大七次会议批准，现印发给你们，请认真贯彻实施。</w:t>
      </w:r>
    </w:p>
    <w:p w14:paraId="17F7973F">
      <w:pPr>
        <w:overflowPunct w:val="0"/>
        <w:topLinePunct/>
        <w:spacing w:line="560" w:lineRule="exact"/>
        <w:ind w:firstLine="640"/>
        <w:rPr>
          <w:rFonts w:ascii="仿宋_GB2312" w:hAnsi="仿宋_GB2312" w:eastAsia="仿宋_GB2312" w:cs="仿宋_GB2312"/>
          <w:color w:val="000000"/>
          <w:sz w:val="32"/>
          <w:szCs w:val="32"/>
        </w:rPr>
      </w:pPr>
    </w:p>
    <w:p w14:paraId="63DE0722">
      <w:pPr>
        <w:overflowPunct w:val="0"/>
        <w:topLinePunct/>
        <w:spacing w:line="560" w:lineRule="exact"/>
        <w:ind w:firstLine="640"/>
        <w:rPr>
          <w:rFonts w:ascii="仿宋_GB2312" w:hAnsi="仿宋_GB2312" w:eastAsia="仿宋_GB2312" w:cs="仿宋_GB2312"/>
          <w:color w:val="000000"/>
          <w:sz w:val="32"/>
          <w:szCs w:val="32"/>
        </w:rPr>
      </w:pPr>
    </w:p>
    <w:p w14:paraId="392979E6">
      <w:pPr>
        <w:overflowPunct w:val="0"/>
        <w:topLinePunct/>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安康市人民政府</w:t>
      </w:r>
    </w:p>
    <w:p w14:paraId="0CCCF751">
      <w:pPr>
        <w:wordWrap w:val="0"/>
        <w:overflowPunct w:val="0"/>
        <w:topLinePunct/>
        <w:spacing w:line="560" w:lineRule="exact"/>
        <w:ind w:firstLine="640"/>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2026年4月29日　　　　</w:t>
      </w:r>
    </w:p>
    <w:p w14:paraId="5377E817">
      <w:pPr>
        <w:suppressAutoHyphens/>
        <w:topLinePunct/>
        <w:autoSpaceDE w:val="0"/>
        <w:autoSpaceDN w:val="0"/>
        <w:adjustRightInd w:val="0"/>
        <w:snapToGrid w:val="0"/>
        <w:spacing w:line="560" w:lineRule="exact"/>
        <w:jc w:val="center"/>
        <w:rPr>
          <w:rFonts w:ascii="仿宋_GB2312" w:hAnsi="Times New Roman" w:eastAsia="仿宋_GB2312" w:cs="Times New Roman"/>
          <w:sz w:val="28"/>
          <w:szCs w:val="28"/>
        </w:rPr>
      </w:pPr>
    </w:p>
    <w:sdt>
      <w:sdtPr>
        <w:rPr>
          <w:rFonts w:hint="eastAsia" w:ascii="方正小标宋简体" w:hAnsi="方正小标宋简体" w:eastAsia="方正小标宋简体" w:cs="方正小标宋简体"/>
          <w:color w:val="000000" w:themeColor="text1"/>
          <w:sz w:val="44"/>
          <w:szCs w:val="44"/>
          <w14:textFill>
            <w14:solidFill>
              <w14:schemeClr w14:val="tx1"/>
            </w14:solidFill>
          </w14:textFill>
        </w:rPr>
        <w:id w:val="147471919"/>
        <w:docPartObj>
          <w:docPartGallery w:val="Table of Contents"/>
          <w:docPartUnique/>
        </w:docPartObj>
      </w:sdtPr>
      <w:sdtEndPr>
        <w:rPr>
          <w:rFonts w:hint="eastAsia" w:ascii="宋体" w:hAnsi="宋体" w:eastAsia="宋体" w:cs="方正小标宋简体"/>
          <w:color w:val="000000" w:themeColor="text1"/>
          <w:sz w:val="32"/>
          <w:szCs w:val="32"/>
          <w14:textFill>
            <w14:solidFill>
              <w14:schemeClr w14:val="tx1"/>
            </w14:solidFill>
          </w14:textFill>
        </w:rPr>
      </w:sdtEndPr>
      <w:sdtContent>
        <w:p w14:paraId="71ABE2FA">
          <w:pPr>
            <w:overflowPunct w:val="0"/>
            <w:topLinePunct/>
            <w:spacing w:before="156" w:beforeLines="50" w:after="156" w:afterLines="50"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 xml:space="preserve"> 目  录</w:t>
          </w:r>
        </w:p>
        <w:p w14:paraId="3518D3E5">
          <w:pPr>
            <w:pStyle w:val="25"/>
            <w:rPr>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fldChar w:fldCharType="begin"/>
          </w:r>
          <w:r>
            <w:rPr>
              <w:rFonts w:hint="eastAsia" w:eastAsia="仿宋_GB2312"/>
              <w:color w:val="000000" w:themeColor="text1"/>
              <w14:textFill>
                <w14:solidFill>
                  <w14:schemeClr w14:val="tx1"/>
                </w14:solidFill>
              </w14:textFill>
            </w:rPr>
            <w:instrText xml:space="preserve">TOC \o "1-3" \h \u </w:instrText>
          </w:r>
          <w:r>
            <w:rPr>
              <w:rFonts w:hint="eastAsia" w:eastAsia="仿宋_GB2312"/>
              <w:color w:val="000000" w:themeColor="text1"/>
              <w14:textFill>
                <w14:solidFill>
                  <w14:schemeClr w14:val="tx1"/>
                </w14:solidFill>
              </w14:textFill>
            </w:rPr>
            <w:fldChar w:fldCharType="separate"/>
          </w:r>
          <w:r>
            <w:fldChar w:fldCharType="begin"/>
          </w:r>
          <w:r>
            <w:instrText xml:space="preserve"> HYPERLINK \l "_Toc19317" </w:instrText>
          </w:r>
          <w:r>
            <w:fldChar w:fldCharType="separate"/>
          </w:r>
          <w:r>
            <w:rPr>
              <w:rFonts w:hint="eastAsia" w:ascii="黑体" w:hAnsi="黑体" w:cs="黑体"/>
              <w:color w:val="000000" w:themeColor="text1"/>
              <w:szCs w:val="44"/>
              <w14:textFill>
                <w14:solidFill>
                  <w14:schemeClr w14:val="tx1"/>
                </w14:solidFill>
              </w14:textFill>
            </w:rPr>
            <w:t>第一篇 深入贯彻落实党中央决策部署和省委工作要求，奋力推动在中国式现代化道路上聚力建设幸福安康取得决定性进展</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_Toc19317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7</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50713480">
          <w:pPr>
            <w:pStyle w:val="19"/>
            <w:tabs>
              <w:tab w:val="right" w:leader="dot" w:pos="8845"/>
            </w:tabs>
            <w:rPr>
              <w:color w:val="000000" w:themeColor="text1"/>
              <w14:textFill>
                <w14:solidFill>
                  <w14:schemeClr w14:val="tx1"/>
                </w14:solidFill>
              </w14:textFill>
            </w:rPr>
          </w:pPr>
          <w:r>
            <w:fldChar w:fldCharType="begin"/>
          </w:r>
          <w:r>
            <w:instrText xml:space="preserve"> HYPERLINK \l "_Toc21462" </w:instrText>
          </w:r>
          <w:r>
            <w:fldChar w:fldCharType="separate"/>
          </w:r>
          <w:r>
            <w:rPr>
              <w:rFonts w:hint="eastAsia"/>
              <w:color w:val="000000" w:themeColor="text1"/>
              <w14:textFill>
                <w14:solidFill>
                  <w14:schemeClr w14:val="tx1"/>
                </w14:solidFill>
              </w14:textFill>
            </w:rPr>
            <w:t>第一章 发展基础</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_Toc21462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2655DD0">
          <w:pPr>
            <w:pStyle w:val="19"/>
            <w:tabs>
              <w:tab w:val="right" w:leader="dot" w:pos="8845"/>
            </w:tabs>
            <w:rPr>
              <w:color w:val="000000" w:themeColor="text1"/>
              <w14:textFill>
                <w14:solidFill>
                  <w14:schemeClr w14:val="tx1"/>
                </w14:solidFill>
              </w14:textFill>
            </w:rPr>
          </w:pPr>
          <w:r>
            <w:fldChar w:fldCharType="begin"/>
          </w:r>
          <w:r>
            <w:instrText xml:space="preserve"> HYPERLINK \l "_Toc29348" </w:instrText>
          </w:r>
          <w:r>
            <w:fldChar w:fldCharType="separate"/>
          </w:r>
          <w:r>
            <w:rPr>
              <w:rFonts w:hint="eastAsia"/>
              <w:color w:val="000000" w:themeColor="text1"/>
              <w14:textFill>
                <w14:solidFill>
                  <w14:schemeClr w14:val="tx1"/>
                </w14:solidFill>
              </w14:textFill>
            </w:rPr>
            <w:t>第二章 面临环境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_Toc29348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67439AE">
          <w:pPr>
            <w:pStyle w:val="19"/>
            <w:tabs>
              <w:tab w:val="right" w:leader="dot" w:pos="8845"/>
            </w:tabs>
            <w:rPr>
              <w:color w:val="000000" w:themeColor="text1"/>
              <w14:textFill>
                <w14:solidFill>
                  <w14:schemeClr w14:val="tx1"/>
                </w14:solidFill>
              </w14:textFill>
            </w:rPr>
          </w:pPr>
          <w:r>
            <w:fldChar w:fldCharType="begin"/>
          </w:r>
          <w:r>
            <w:instrText xml:space="preserve"> HYPERLINK \l "_Toc4508" </w:instrText>
          </w:r>
          <w:r>
            <w:fldChar w:fldCharType="separate"/>
          </w:r>
          <w:r>
            <w:rPr>
              <w:rFonts w:hint="eastAsia"/>
              <w:color w:val="000000" w:themeColor="text1"/>
              <w14:textFill>
                <w14:solidFill>
                  <w14:schemeClr w14:val="tx1"/>
                </w14:solidFill>
              </w14:textFill>
            </w:rPr>
            <w:t>第三章 总体要求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_Toc4508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B65B20B">
          <w:pPr>
            <w:pStyle w:val="19"/>
            <w:tabs>
              <w:tab w:val="right" w:leader="dot" w:pos="8845"/>
            </w:tabs>
            <w:rPr>
              <w:color w:val="000000" w:themeColor="text1"/>
              <w14:textFill>
                <w14:solidFill>
                  <w14:schemeClr w14:val="tx1"/>
                </w14:solidFill>
              </w14:textFill>
            </w:rPr>
          </w:pPr>
          <w:r>
            <w:fldChar w:fldCharType="begin"/>
          </w:r>
          <w:r>
            <w:instrText xml:space="preserve"> HYPERLINK \l "_Toc4789" </w:instrText>
          </w:r>
          <w:r>
            <w:fldChar w:fldCharType="separate"/>
          </w:r>
          <w:r>
            <w:rPr>
              <w:rFonts w:hint="eastAsia"/>
              <w:color w:val="000000" w:themeColor="text1"/>
              <w14:textFill>
                <w14:solidFill>
                  <w14:schemeClr w14:val="tx1"/>
                </w14:solidFill>
              </w14:textFill>
            </w:rPr>
            <w:t>第四章 发展目标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_Toc4789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58CB4E7">
          <w:pPr>
            <w:pStyle w:val="25"/>
            <w:rPr>
              <w:color w:val="000000" w:themeColor="text1"/>
              <w14:textFill>
                <w14:solidFill>
                  <w14:schemeClr w14:val="tx1"/>
                </w14:solidFill>
              </w14:textFill>
            </w:rPr>
          </w:pPr>
          <w:r>
            <w:fldChar w:fldCharType="begin"/>
          </w:r>
          <w:r>
            <w:instrText xml:space="preserve"> HYPERLINK \l "_Toc32749" </w:instrText>
          </w:r>
          <w:r>
            <w:fldChar w:fldCharType="separate"/>
          </w:r>
          <w:r>
            <w:rPr>
              <w:rFonts w:hint="eastAsia" w:ascii="黑体" w:hAnsi="黑体" w:cs="黑体"/>
              <w:color w:val="000000" w:themeColor="text1"/>
              <w14:textFill>
                <w14:solidFill>
                  <w14:schemeClr w14:val="tx1"/>
                </w14:solidFill>
              </w14:textFill>
            </w:rPr>
            <w:t>第二篇 加快构建具有安康特色的现代化产业体系，厚植建设幸福安康物质基础</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_Toc32749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21</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1752FCB0">
          <w:pPr>
            <w:pStyle w:val="19"/>
            <w:tabs>
              <w:tab w:val="right" w:leader="dot" w:pos="8845"/>
            </w:tabs>
            <w:rPr>
              <w:color w:val="000000" w:themeColor="text1"/>
              <w14:textFill>
                <w14:solidFill>
                  <w14:schemeClr w14:val="tx1"/>
                </w14:solidFill>
              </w14:textFill>
            </w:rPr>
          </w:pPr>
          <w:r>
            <w:fldChar w:fldCharType="begin"/>
          </w:r>
          <w:r>
            <w:instrText xml:space="preserve"> HYPERLINK \l "_Toc19275" </w:instrText>
          </w:r>
          <w:r>
            <w:fldChar w:fldCharType="separate"/>
          </w:r>
          <w:r>
            <w:rPr>
              <w:rFonts w:hint="eastAsia"/>
              <w:color w:val="000000" w:themeColor="text1"/>
              <w14:textFill>
                <w14:solidFill>
                  <w14:schemeClr w14:val="tx1"/>
                </w14:solidFill>
              </w14:textFill>
            </w:rPr>
            <w:t>第一章 做强做优富硒产业集群</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E080F65">
          <w:pPr>
            <w:pStyle w:val="19"/>
            <w:tabs>
              <w:tab w:val="right" w:leader="dot" w:pos="8845"/>
            </w:tabs>
            <w:rPr>
              <w:color w:val="000000" w:themeColor="text1"/>
              <w14:textFill>
                <w14:solidFill>
                  <w14:schemeClr w14:val="tx1"/>
                </w14:solidFill>
              </w14:textFill>
            </w:rPr>
          </w:pPr>
          <w:r>
            <w:fldChar w:fldCharType="begin"/>
          </w:r>
          <w:r>
            <w:instrText xml:space="preserve"> HYPERLINK \l "_Toc2442" </w:instrText>
          </w:r>
          <w:r>
            <w:fldChar w:fldCharType="separate"/>
          </w:r>
          <w:r>
            <w:rPr>
              <w:rFonts w:hint="eastAsia"/>
              <w:color w:val="000000" w:themeColor="text1"/>
              <w14:textFill>
                <w14:solidFill>
                  <w14:schemeClr w14:val="tx1"/>
                </w14:solidFill>
              </w14:textFill>
            </w:rPr>
            <w:t>第二章 大力发展生态旅游</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_Toc2442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899C86B">
          <w:pPr>
            <w:pStyle w:val="19"/>
            <w:tabs>
              <w:tab w:val="right" w:leader="dot" w:pos="8845"/>
            </w:tabs>
            <w:rPr>
              <w:color w:val="000000" w:themeColor="text1"/>
              <w14:textFill>
                <w14:solidFill>
                  <w14:schemeClr w14:val="tx1"/>
                </w14:solidFill>
              </w14:textFill>
            </w:rPr>
          </w:pPr>
          <w:r>
            <w:fldChar w:fldCharType="begin"/>
          </w:r>
          <w:r>
            <w:instrText xml:space="preserve"> HYPERLINK \l "_Toc8562" </w:instrText>
          </w:r>
          <w:r>
            <w:fldChar w:fldCharType="separate"/>
          </w:r>
          <w:r>
            <w:rPr>
              <w:rFonts w:hint="eastAsia"/>
              <w:color w:val="000000" w:themeColor="text1"/>
              <w14:textFill>
                <w14:solidFill>
                  <w14:schemeClr w14:val="tx1"/>
                </w14:solidFill>
              </w14:textFill>
            </w:rPr>
            <w:t>第三章 推进制造业扩量提质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_Toc8562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3974AF7">
          <w:pPr>
            <w:pStyle w:val="19"/>
            <w:tabs>
              <w:tab w:val="right" w:leader="dot" w:pos="8845"/>
            </w:tabs>
            <w:rPr>
              <w:color w:val="000000" w:themeColor="text1"/>
              <w14:textFill>
                <w14:solidFill>
                  <w14:schemeClr w14:val="tx1"/>
                </w14:solidFill>
              </w14:textFill>
            </w:rPr>
          </w:pPr>
          <w:r>
            <w:fldChar w:fldCharType="begin"/>
          </w:r>
          <w:r>
            <w:instrText xml:space="preserve"> HYPERLINK \l "_Toc1726" </w:instrText>
          </w:r>
          <w:r>
            <w:fldChar w:fldCharType="separate"/>
          </w:r>
          <w:r>
            <w:rPr>
              <w:rFonts w:hint="eastAsia"/>
              <w:color w:val="000000" w:themeColor="text1"/>
              <w14:textFill>
                <w14:solidFill>
                  <w14:schemeClr w14:val="tx1"/>
                </w14:solidFill>
              </w14:textFill>
            </w:rPr>
            <w:t>第四章 加强战略性新兴产业与未来产业谋划培育</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07E7F4E">
          <w:pPr>
            <w:pStyle w:val="19"/>
            <w:tabs>
              <w:tab w:val="right" w:leader="dot" w:pos="8845"/>
            </w:tabs>
            <w:rPr>
              <w:color w:val="000000" w:themeColor="text1"/>
              <w14:textFill>
                <w14:solidFill>
                  <w14:schemeClr w14:val="tx1"/>
                </w14:solidFill>
              </w14:textFill>
            </w:rPr>
          </w:pPr>
          <w:r>
            <w:fldChar w:fldCharType="begin"/>
          </w:r>
          <w:r>
            <w:instrText xml:space="preserve"> HYPERLINK \l "_Toc8450" </w:instrText>
          </w:r>
          <w:r>
            <w:fldChar w:fldCharType="separate"/>
          </w:r>
          <w:r>
            <w:rPr>
              <w:rFonts w:hint="eastAsia"/>
              <w:color w:val="000000" w:themeColor="text1"/>
              <w14:textFill>
                <w14:solidFill>
                  <w14:schemeClr w14:val="tx1"/>
                </w14:solidFill>
              </w14:textFill>
            </w:rPr>
            <w:t>第五章 扎实推进特色现代农业建设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_Toc8450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E6EEA30">
          <w:pPr>
            <w:pStyle w:val="19"/>
            <w:tabs>
              <w:tab w:val="right" w:leader="dot" w:pos="8845"/>
            </w:tabs>
            <w:rPr>
              <w:color w:val="000000" w:themeColor="text1"/>
              <w14:textFill>
                <w14:solidFill>
                  <w14:schemeClr w14:val="tx1"/>
                </w14:solidFill>
              </w14:textFill>
            </w:rPr>
          </w:pPr>
          <w:r>
            <w:fldChar w:fldCharType="begin"/>
          </w:r>
          <w:r>
            <w:instrText xml:space="preserve"> HYPERLINK \l "_Toc16430" </w:instrText>
          </w:r>
          <w:r>
            <w:fldChar w:fldCharType="separate"/>
          </w:r>
          <w:r>
            <w:rPr>
              <w:rFonts w:hint="eastAsia"/>
              <w:color w:val="000000" w:themeColor="text1"/>
              <w14:textFill>
                <w14:solidFill>
                  <w14:schemeClr w14:val="tx1"/>
                </w14:solidFill>
              </w14:textFill>
            </w:rPr>
            <w:t>第六章 促进现代服务业高效发展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_Toc16430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431415D">
          <w:pPr>
            <w:pStyle w:val="19"/>
            <w:tabs>
              <w:tab w:val="right" w:leader="dot" w:pos="8845"/>
            </w:tabs>
            <w:rPr>
              <w:color w:val="000000" w:themeColor="text1"/>
              <w14:textFill>
                <w14:solidFill>
                  <w14:schemeClr w14:val="tx1"/>
                </w14:solidFill>
              </w14:textFill>
            </w:rPr>
          </w:pPr>
          <w:r>
            <w:fldChar w:fldCharType="begin"/>
          </w:r>
          <w:r>
            <w:instrText xml:space="preserve"> HYPERLINK \l "_Toc29555" </w:instrText>
          </w:r>
          <w:r>
            <w:fldChar w:fldCharType="separate"/>
          </w:r>
          <w:r>
            <w:rPr>
              <w:rFonts w:hint="eastAsia"/>
              <w:color w:val="000000" w:themeColor="text1"/>
              <w14:textFill>
                <w14:solidFill>
                  <w14:schemeClr w14:val="tx1"/>
                </w14:solidFill>
              </w14:textFill>
            </w:rPr>
            <w:t>第七章 强化三次产业融合发展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_Toc29555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0CF2A30">
          <w:pPr>
            <w:pStyle w:val="19"/>
            <w:tabs>
              <w:tab w:val="right" w:leader="dot" w:pos="8845"/>
            </w:tabs>
            <w:rPr>
              <w:color w:val="000000" w:themeColor="text1"/>
              <w14:textFill>
                <w14:solidFill>
                  <w14:schemeClr w14:val="tx1"/>
                </w14:solidFill>
              </w14:textFill>
            </w:rPr>
          </w:pPr>
          <w:r>
            <w:fldChar w:fldCharType="begin"/>
          </w:r>
          <w:r>
            <w:instrText xml:space="preserve"> HYPERLINK \l "_Toc22324" </w:instrText>
          </w:r>
          <w:r>
            <w:fldChar w:fldCharType="separate"/>
          </w:r>
          <w:r>
            <w:rPr>
              <w:rFonts w:hint="eastAsia"/>
              <w:color w:val="000000" w:themeColor="text1"/>
              <w14:textFill>
                <w14:solidFill>
                  <w14:schemeClr w14:val="tx1"/>
                </w14:solidFill>
              </w14:textFill>
            </w:rPr>
            <w:t>第八章 积极发展数字经济和人工智能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_Toc22324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D4B3411">
          <w:pPr>
            <w:pStyle w:val="25"/>
            <w:rPr>
              <w:rFonts w:ascii="黑体" w:hAnsi="黑体" w:cs="黑体"/>
              <w:color w:val="000000" w:themeColor="text1"/>
              <w14:textFill>
                <w14:solidFill>
                  <w14:schemeClr w14:val="tx1"/>
                </w14:solidFill>
              </w14:textFill>
            </w:rPr>
          </w:pPr>
          <w:r>
            <w:fldChar w:fldCharType="begin"/>
          </w:r>
          <w:r>
            <w:instrText xml:space="preserve"> HYPERLINK \l "_Toc25463" </w:instrText>
          </w:r>
          <w:r>
            <w:fldChar w:fldCharType="separate"/>
          </w:r>
          <w:r>
            <w:rPr>
              <w:rFonts w:hint="eastAsia" w:ascii="黑体" w:hAnsi="黑体" w:cs="黑体"/>
              <w:color w:val="000000" w:themeColor="text1"/>
              <w14:textFill>
                <w14:solidFill>
                  <w14:schemeClr w14:val="tx1"/>
                </w14:solidFill>
              </w14:textFill>
            </w:rPr>
            <w:t>第三篇 聚力提升创新体系整体效能，因地制宜发展新质生产力</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_Toc25463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37</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0617AA55">
          <w:pPr>
            <w:pStyle w:val="19"/>
            <w:tabs>
              <w:tab w:val="right" w:leader="dot" w:pos="8845"/>
            </w:tabs>
            <w:rPr>
              <w:color w:val="000000" w:themeColor="text1"/>
              <w14:textFill>
                <w14:solidFill>
                  <w14:schemeClr w14:val="tx1"/>
                </w14:solidFill>
              </w14:textFill>
            </w:rPr>
          </w:pPr>
          <w:r>
            <w:fldChar w:fldCharType="begin"/>
          </w:r>
          <w:r>
            <w:instrText xml:space="preserve"> HYPERLINK \l "_Toc18317" </w:instrText>
          </w:r>
          <w:r>
            <w:fldChar w:fldCharType="separate"/>
          </w:r>
          <w:r>
            <w:rPr>
              <w:rFonts w:hint="eastAsia"/>
              <w:color w:val="000000" w:themeColor="text1"/>
              <w14:textFill>
                <w14:solidFill>
                  <w14:schemeClr w14:val="tx1"/>
                </w14:solidFill>
              </w14:textFill>
            </w:rPr>
            <w:t>第一章 构筑高水平科技创新平台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_Toc18317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E3184BF">
          <w:pPr>
            <w:pStyle w:val="19"/>
            <w:tabs>
              <w:tab w:val="right" w:leader="dot" w:pos="8845"/>
            </w:tabs>
            <w:rPr>
              <w:color w:val="000000" w:themeColor="text1"/>
              <w14:textFill>
                <w14:solidFill>
                  <w14:schemeClr w14:val="tx1"/>
                </w14:solidFill>
              </w14:textFill>
            </w:rPr>
          </w:pPr>
          <w:r>
            <w:fldChar w:fldCharType="begin"/>
          </w:r>
          <w:r>
            <w:instrText xml:space="preserve"> HYPERLINK \l "_Toc12889" </w:instrText>
          </w:r>
          <w:r>
            <w:fldChar w:fldCharType="separate"/>
          </w:r>
          <w:r>
            <w:rPr>
              <w:rFonts w:hint="eastAsia"/>
              <w:color w:val="000000" w:themeColor="text1"/>
              <w14:textFill>
                <w14:solidFill>
                  <w14:schemeClr w14:val="tx1"/>
                </w14:solidFill>
              </w14:textFill>
            </w:rPr>
            <w:t>第二章 深化科技体制机制改革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_Toc12889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9F9FA18">
          <w:pPr>
            <w:pStyle w:val="19"/>
            <w:tabs>
              <w:tab w:val="right" w:leader="dot" w:pos="8845"/>
            </w:tabs>
            <w:rPr>
              <w:color w:val="000000" w:themeColor="text1"/>
              <w14:textFill>
                <w14:solidFill>
                  <w14:schemeClr w14:val="tx1"/>
                </w14:solidFill>
              </w14:textFill>
            </w:rPr>
          </w:pPr>
          <w:r>
            <w:fldChar w:fldCharType="begin"/>
          </w:r>
          <w:r>
            <w:instrText xml:space="preserve"> HYPERLINK \l "_Toc22460" </w:instrText>
          </w:r>
          <w:r>
            <w:fldChar w:fldCharType="separate"/>
          </w:r>
          <w:r>
            <w:rPr>
              <w:rFonts w:hint="eastAsia"/>
              <w:color w:val="000000" w:themeColor="text1"/>
              <w14:textFill>
                <w14:solidFill>
                  <w14:schemeClr w14:val="tx1"/>
                </w14:solidFill>
              </w14:textFill>
            </w:rPr>
            <w:t>第三章 一体推进教育科技人才发展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_Toc22460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ACF58D7">
          <w:pPr>
            <w:pStyle w:val="19"/>
            <w:tabs>
              <w:tab w:val="right" w:leader="dot" w:pos="8845"/>
            </w:tabs>
            <w:rPr>
              <w:color w:val="000000" w:themeColor="text1"/>
              <w14:textFill>
                <w14:solidFill>
                  <w14:schemeClr w14:val="tx1"/>
                </w14:solidFill>
              </w14:textFill>
            </w:rPr>
          </w:pPr>
          <w:r>
            <w:fldChar w:fldCharType="begin"/>
          </w:r>
          <w:r>
            <w:instrText xml:space="preserve"> HYPERLINK \l "_Toc30065" </w:instrText>
          </w:r>
          <w:r>
            <w:fldChar w:fldCharType="separate"/>
          </w:r>
          <w:r>
            <w:rPr>
              <w:rFonts w:hint="eastAsia"/>
              <w:color w:val="000000" w:themeColor="text1"/>
              <w14:textFill>
                <w14:solidFill>
                  <w14:schemeClr w14:val="tx1"/>
                </w14:solidFill>
              </w14:textFill>
            </w:rPr>
            <w:t>第四章 持续提升产业创新能力</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_Toc30065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9910CE7">
          <w:pPr>
            <w:pStyle w:val="25"/>
            <w:rPr>
              <w:rFonts w:ascii="黑体" w:hAnsi="黑体" w:cs="黑体"/>
              <w:color w:val="000000" w:themeColor="text1"/>
              <w14:textFill>
                <w14:solidFill>
                  <w14:schemeClr w14:val="tx1"/>
                </w14:solidFill>
              </w14:textFill>
            </w:rPr>
          </w:pPr>
          <w:r>
            <w:fldChar w:fldCharType="begin"/>
          </w:r>
          <w:r>
            <w:instrText xml:space="preserve"> HYPERLINK \l "_Toc29991" </w:instrText>
          </w:r>
          <w:r>
            <w:fldChar w:fldCharType="separate"/>
          </w:r>
          <w:r>
            <w:rPr>
              <w:rFonts w:hint="eastAsia" w:ascii="黑体" w:hAnsi="黑体" w:cs="黑体"/>
              <w:color w:val="000000" w:themeColor="text1"/>
              <w14:textFill>
                <w14:solidFill>
                  <w14:schemeClr w14:val="tx1"/>
                </w14:solidFill>
              </w14:textFill>
            </w:rPr>
            <w:t>第四篇 着力激发内需潜力，积极融入和服务新发展格局</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_Toc29991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43</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2F1C1C33">
          <w:pPr>
            <w:pStyle w:val="19"/>
            <w:tabs>
              <w:tab w:val="right" w:leader="dot" w:pos="8845"/>
            </w:tabs>
            <w:rPr>
              <w:color w:val="000000" w:themeColor="text1"/>
              <w14:textFill>
                <w14:solidFill>
                  <w14:schemeClr w14:val="tx1"/>
                </w14:solidFill>
              </w14:textFill>
            </w:rPr>
          </w:pPr>
          <w:r>
            <w:fldChar w:fldCharType="begin"/>
          </w:r>
          <w:r>
            <w:instrText xml:space="preserve"> HYPERLINK \l "_Toc9266" </w:instrText>
          </w:r>
          <w:r>
            <w:fldChar w:fldCharType="separate"/>
          </w:r>
          <w:r>
            <w:rPr>
              <w:rFonts w:hint="eastAsia"/>
              <w:color w:val="000000" w:themeColor="text1"/>
              <w14:textFill>
                <w14:solidFill>
                  <w14:schemeClr w14:val="tx1"/>
                </w14:solidFill>
              </w14:textFill>
            </w:rPr>
            <w:t>第一章 促进消费提质增效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_Toc9266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CE73ACD">
          <w:pPr>
            <w:pStyle w:val="19"/>
            <w:tabs>
              <w:tab w:val="right" w:leader="dot" w:pos="8845"/>
            </w:tabs>
            <w:rPr>
              <w:color w:val="000000" w:themeColor="text1"/>
              <w14:textFill>
                <w14:solidFill>
                  <w14:schemeClr w14:val="tx1"/>
                </w14:solidFill>
              </w14:textFill>
            </w:rPr>
          </w:pPr>
          <w:r>
            <w:fldChar w:fldCharType="begin"/>
          </w:r>
          <w:r>
            <w:instrText xml:space="preserve"> HYPERLINK \l "_Toc8826" </w:instrText>
          </w:r>
          <w:r>
            <w:fldChar w:fldCharType="separate"/>
          </w:r>
          <w:r>
            <w:rPr>
              <w:rFonts w:hint="eastAsia"/>
              <w:color w:val="000000" w:themeColor="text1"/>
              <w14:textFill>
                <w14:solidFill>
                  <w14:schemeClr w14:val="tx1"/>
                </w14:solidFill>
              </w14:textFill>
            </w:rPr>
            <w:t>第二章 持续扩大有效投资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_Toc8826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76DE392">
          <w:pPr>
            <w:pStyle w:val="19"/>
            <w:tabs>
              <w:tab w:val="right" w:leader="dot" w:pos="8845"/>
            </w:tabs>
            <w:rPr>
              <w:color w:val="000000" w:themeColor="text1"/>
              <w14:textFill>
                <w14:solidFill>
                  <w14:schemeClr w14:val="tx1"/>
                </w14:solidFill>
              </w14:textFill>
            </w:rPr>
          </w:pPr>
          <w:r>
            <w:fldChar w:fldCharType="begin"/>
          </w:r>
          <w:r>
            <w:instrText xml:space="preserve"> HYPERLINK \l "_Toc917" </w:instrText>
          </w:r>
          <w:r>
            <w:fldChar w:fldCharType="separate"/>
          </w:r>
          <w:r>
            <w:rPr>
              <w:rFonts w:hint="eastAsia"/>
              <w:color w:val="000000" w:themeColor="text1"/>
              <w14:textFill>
                <w14:solidFill>
                  <w14:schemeClr w14:val="tx1"/>
                </w14:solidFill>
              </w14:textFill>
            </w:rPr>
            <w:t>第三章 加强现代化基础设施建设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CF0D20E">
          <w:pPr>
            <w:pStyle w:val="25"/>
            <w:rPr>
              <w:rFonts w:ascii="黑体" w:hAnsi="黑体" w:cs="黑体"/>
              <w:color w:val="000000" w:themeColor="text1"/>
              <w14:textFill>
                <w14:solidFill>
                  <w14:schemeClr w14:val="tx1"/>
                </w14:solidFill>
              </w14:textFill>
            </w:rPr>
          </w:pPr>
          <w:r>
            <w:fldChar w:fldCharType="begin"/>
          </w:r>
          <w:r>
            <w:instrText xml:space="preserve"> HYPERLINK \l "_Toc4572" </w:instrText>
          </w:r>
          <w:r>
            <w:fldChar w:fldCharType="separate"/>
          </w:r>
          <w:r>
            <w:rPr>
              <w:rFonts w:hint="eastAsia" w:ascii="黑体" w:hAnsi="黑体" w:cs="黑体"/>
              <w:color w:val="000000" w:themeColor="text1"/>
              <w14:textFill>
                <w14:solidFill>
                  <w14:schemeClr w14:val="tx1"/>
                </w14:solidFill>
              </w14:textFill>
            </w:rPr>
            <w:t>第五篇 全面深化改革开放，增强高质量发展现代化建设动能</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_Toc4572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51</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7EC53A60">
          <w:pPr>
            <w:pStyle w:val="19"/>
            <w:tabs>
              <w:tab w:val="right" w:leader="dot" w:pos="8845"/>
            </w:tabs>
            <w:rPr>
              <w:color w:val="000000" w:themeColor="text1"/>
              <w14:textFill>
                <w14:solidFill>
                  <w14:schemeClr w14:val="tx1"/>
                </w14:solidFill>
              </w14:textFill>
            </w:rPr>
          </w:pPr>
          <w:r>
            <w:fldChar w:fldCharType="begin"/>
          </w:r>
          <w:r>
            <w:instrText xml:space="preserve"> HYPERLINK \l "_Toc16880" </w:instrText>
          </w:r>
          <w:r>
            <w:fldChar w:fldCharType="separate"/>
          </w:r>
          <w:r>
            <w:rPr>
              <w:rFonts w:hint="eastAsia"/>
              <w:color w:val="000000" w:themeColor="text1"/>
              <w14:textFill>
                <w14:solidFill>
                  <w14:schemeClr w14:val="tx1"/>
                </w14:solidFill>
              </w14:textFill>
            </w:rPr>
            <w:t>第一章 深化要素市场化配置改革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_Toc16880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4E47BF3">
          <w:pPr>
            <w:pStyle w:val="19"/>
            <w:tabs>
              <w:tab w:val="right" w:leader="dot" w:pos="8845"/>
            </w:tabs>
            <w:rPr>
              <w:color w:val="000000" w:themeColor="text1"/>
              <w14:textFill>
                <w14:solidFill>
                  <w14:schemeClr w14:val="tx1"/>
                </w14:solidFill>
              </w14:textFill>
            </w:rPr>
          </w:pPr>
          <w:r>
            <w:fldChar w:fldCharType="begin"/>
          </w:r>
          <w:r>
            <w:instrText xml:space="preserve"> HYPERLINK \l "_Toc4588" </w:instrText>
          </w:r>
          <w:r>
            <w:fldChar w:fldCharType="separate"/>
          </w:r>
          <w:r>
            <w:rPr>
              <w:rFonts w:hint="eastAsia"/>
              <w:color w:val="000000" w:themeColor="text1"/>
              <w14:textFill>
                <w14:solidFill>
                  <w14:schemeClr w14:val="tx1"/>
                </w14:solidFill>
              </w14:textFill>
            </w:rPr>
            <w:t>第二章 激发各类经营主体活力</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6ECF1F6">
          <w:pPr>
            <w:pStyle w:val="19"/>
            <w:tabs>
              <w:tab w:val="right" w:leader="dot" w:pos="8845"/>
            </w:tabs>
            <w:rPr>
              <w:color w:val="000000" w:themeColor="text1"/>
              <w14:textFill>
                <w14:solidFill>
                  <w14:schemeClr w14:val="tx1"/>
                </w14:solidFill>
              </w14:textFill>
            </w:rPr>
          </w:pPr>
          <w:r>
            <w:fldChar w:fldCharType="begin"/>
          </w:r>
          <w:r>
            <w:instrText xml:space="preserve"> HYPERLINK \l "_Toc28285" </w:instrText>
          </w:r>
          <w:r>
            <w:fldChar w:fldCharType="separate"/>
          </w:r>
          <w:r>
            <w:rPr>
              <w:rFonts w:hint="eastAsia"/>
              <w:color w:val="000000" w:themeColor="text1"/>
              <w14:textFill>
                <w14:solidFill>
                  <w14:schemeClr w14:val="tx1"/>
                </w14:solidFill>
              </w14:textFill>
            </w:rPr>
            <w:t>第三章 持续打造一流营商环境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_Toc28285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7D38A1C">
          <w:pPr>
            <w:pStyle w:val="19"/>
            <w:tabs>
              <w:tab w:val="right" w:leader="dot" w:pos="8845"/>
            </w:tabs>
            <w:rPr>
              <w:color w:val="000000" w:themeColor="text1"/>
              <w14:textFill>
                <w14:solidFill>
                  <w14:schemeClr w14:val="tx1"/>
                </w14:solidFill>
              </w14:textFill>
            </w:rPr>
          </w:pPr>
          <w:r>
            <w:fldChar w:fldCharType="begin"/>
          </w:r>
          <w:r>
            <w:instrText xml:space="preserve"> HYPERLINK \l "_Toc27566" </w:instrText>
          </w:r>
          <w:r>
            <w:fldChar w:fldCharType="separate"/>
          </w:r>
          <w:r>
            <w:rPr>
              <w:rFonts w:hint="eastAsia"/>
              <w:color w:val="000000" w:themeColor="text1"/>
              <w14:textFill>
                <w14:solidFill>
                  <w14:schemeClr w14:val="tx1"/>
                </w14:solidFill>
              </w14:textFill>
            </w:rPr>
            <w:t>第四章 建设高水平开放通道枢纽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_Toc27566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260C6C9">
          <w:pPr>
            <w:pStyle w:val="19"/>
            <w:tabs>
              <w:tab w:val="right" w:leader="dot" w:pos="8845"/>
            </w:tabs>
            <w:rPr>
              <w:color w:val="000000" w:themeColor="text1"/>
              <w14:textFill>
                <w14:solidFill>
                  <w14:schemeClr w14:val="tx1"/>
                </w14:solidFill>
              </w14:textFill>
            </w:rPr>
          </w:pPr>
          <w:r>
            <w:fldChar w:fldCharType="begin"/>
          </w:r>
          <w:r>
            <w:instrText xml:space="preserve"> HYPERLINK \l "_Toc4635" </w:instrText>
          </w:r>
          <w:r>
            <w:fldChar w:fldCharType="separate"/>
          </w:r>
          <w:r>
            <w:rPr>
              <w:rFonts w:hint="eastAsia"/>
              <w:color w:val="000000" w:themeColor="text1"/>
              <w14:textFill>
                <w14:solidFill>
                  <w14:schemeClr w14:val="tx1"/>
                </w14:solidFill>
              </w14:textFill>
            </w:rPr>
            <w:t>第五章 打造高能级开放平台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_Toc4635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BB83600">
          <w:pPr>
            <w:pStyle w:val="19"/>
            <w:tabs>
              <w:tab w:val="right" w:leader="dot" w:pos="8845"/>
            </w:tabs>
            <w:rPr>
              <w:color w:val="000000" w:themeColor="text1"/>
              <w14:textFill>
                <w14:solidFill>
                  <w14:schemeClr w14:val="tx1"/>
                </w14:solidFill>
              </w14:textFill>
            </w:rPr>
          </w:pPr>
          <w:r>
            <w:fldChar w:fldCharType="begin"/>
          </w:r>
          <w:r>
            <w:instrText xml:space="preserve"> HYPERLINK \l "_Toc202" </w:instrText>
          </w:r>
          <w:r>
            <w:fldChar w:fldCharType="separate"/>
          </w:r>
          <w:r>
            <w:rPr>
              <w:rFonts w:hint="eastAsia"/>
              <w:color w:val="000000" w:themeColor="text1"/>
              <w14:textFill>
                <w14:solidFill>
                  <w14:schemeClr w14:val="tx1"/>
                </w14:solidFill>
              </w14:textFill>
            </w:rPr>
            <w:t>第六章 深度融入区域发展格局</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039666A">
          <w:pPr>
            <w:pStyle w:val="25"/>
            <w:rPr>
              <w:rFonts w:ascii="黑体" w:hAnsi="黑体" w:cs="黑体"/>
              <w:color w:val="000000" w:themeColor="text1"/>
              <w14:textFill>
                <w14:solidFill>
                  <w14:schemeClr w14:val="tx1"/>
                </w14:solidFill>
              </w14:textFill>
            </w:rPr>
          </w:pPr>
          <w:r>
            <w:fldChar w:fldCharType="begin"/>
          </w:r>
          <w:r>
            <w:instrText xml:space="preserve"> HYPERLINK \l "_Toc6923" </w:instrText>
          </w:r>
          <w:r>
            <w:fldChar w:fldCharType="separate"/>
          </w:r>
          <w:r>
            <w:rPr>
              <w:rFonts w:hint="eastAsia" w:ascii="黑体" w:hAnsi="黑体" w:cs="黑体"/>
              <w:color w:val="000000" w:themeColor="text1"/>
              <w14:textFill>
                <w14:solidFill>
                  <w14:schemeClr w14:val="tx1"/>
                </w14:solidFill>
              </w14:textFill>
            </w:rPr>
            <w:t>第六篇 高效统筹城乡融合发展，加快推进新型城镇化和乡村全面振兴</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_Toc6923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61</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58371165">
          <w:pPr>
            <w:pStyle w:val="19"/>
            <w:tabs>
              <w:tab w:val="right" w:leader="dot" w:pos="8845"/>
            </w:tabs>
            <w:rPr>
              <w:color w:val="000000" w:themeColor="text1"/>
              <w14:textFill>
                <w14:solidFill>
                  <w14:schemeClr w14:val="tx1"/>
                </w14:solidFill>
              </w14:textFill>
            </w:rPr>
          </w:pPr>
          <w:r>
            <w:fldChar w:fldCharType="begin"/>
          </w:r>
          <w:r>
            <w:instrText xml:space="preserve"> HYPERLINK \l "_Toc13512" </w:instrText>
          </w:r>
          <w:r>
            <w:fldChar w:fldCharType="separate"/>
          </w:r>
          <w:r>
            <w:rPr>
              <w:rFonts w:hint="eastAsia"/>
              <w:color w:val="000000" w:themeColor="text1"/>
              <w14:textFill>
                <w14:solidFill>
                  <w14:schemeClr w14:val="tx1"/>
                </w14:solidFill>
              </w14:textFill>
            </w:rPr>
            <w:t>第一章 守牢粮食安全和防止返贫致贫底线</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_Toc13512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C918DDF">
          <w:pPr>
            <w:pStyle w:val="19"/>
            <w:tabs>
              <w:tab w:val="right" w:leader="dot" w:pos="8845"/>
            </w:tabs>
            <w:rPr>
              <w:color w:val="000000" w:themeColor="text1"/>
              <w14:textFill>
                <w14:solidFill>
                  <w14:schemeClr w14:val="tx1"/>
                </w14:solidFill>
              </w14:textFill>
            </w:rPr>
          </w:pPr>
          <w:r>
            <w:fldChar w:fldCharType="begin"/>
          </w:r>
          <w:r>
            <w:instrText xml:space="preserve"> HYPERLINK \l "_Toc7106" </w:instrText>
          </w:r>
          <w:r>
            <w:fldChar w:fldCharType="separate"/>
          </w:r>
          <w:r>
            <w:rPr>
              <w:rFonts w:hint="eastAsia"/>
              <w:color w:val="000000" w:themeColor="text1"/>
              <w14:textFill>
                <w14:solidFill>
                  <w14:schemeClr w14:val="tx1"/>
                </w14:solidFill>
              </w14:textFill>
            </w:rPr>
            <w:t>第二章 建设宜居宜业和美乡村</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_Toc7106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4E109F1">
          <w:pPr>
            <w:pStyle w:val="19"/>
            <w:tabs>
              <w:tab w:val="right" w:leader="dot" w:pos="8845"/>
            </w:tabs>
            <w:rPr>
              <w:color w:val="000000" w:themeColor="text1"/>
              <w14:textFill>
                <w14:solidFill>
                  <w14:schemeClr w14:val="tx1"/>
                </w14:solidFill>
              </w14:textFill>
            </w:rPr>
          </w:pPr>
          <w:r>
            <w:fldChar w:fldCharType="begin"/>
          </w:r>
          <w:r>
            <w:instrText xml:space="preserve"> HYPERLINK \l "_Toc16689" </w:instrText>
          </w:r>
          <w:r>
            <w:fldChar w:fldCharType="separate"/>
          </w:r>
          <w:r>
            <w:rPr>
              <w:rFonts w:hint="eastAsia"/>
              <w:color w:val="000000" w:themeColor="text1"/>
              <w14:textFill>
                <w14:solidFill>
                  <w14:schemeClr w14:val="tx1"/>
                </w14:solidFill>
              </w14:textFill>
            </w:rPr>
            <w:t>第三章 推进以人为本的新型城镇化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_Toc16689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44FBE7C">
          <w:pPr>
            <w:pStyle w:val="19"/>
            <w:tabs>
              <w:tab w:val="right" w:leader="dot" w:pos="8845"/>
            </w:tabs>
            <w:rPr>
              <w:color w:val="000000" w:themeColor="text1"/>
              <w14:textFill>
                <w14:solidFill>
                  <w14:schemeClr w14:val="tx1"/>
                </w14:solidFill>
              </w14:textFill>
            </w:rPr>
          </w:pPr>
          <w:r>
            <w:fldChar w:fldCharType="begin"/>
          </w:r>
          <w:r>
            <w:instrText xml:space="preserve"> HYPERLINK \l "_Toc7421" </w:instrText>
          </w:r>
          <w:r>
            <w:fldChar w:fldCharType="separate"/>
          </w:r>
          <w:r>
            <w:rPr>
              <w:rFonts w:hint="eastAsia"/>
              <w:color w:val="000000" w:themeColor="text1"/>
              <w14:textFill>
                <w14:solidFill>
                  <w14:schemeClr w14:val="tx1"/>
                </w14:solidFill>
              </w14:textFill>
            </w:rPr>
            <w:t>第四章 推动</w:t>
          </w:r>
          <w:r>
            <w:rPr>
              <w:rFonts w:hint="eastAsia"/>
              <w:color w:val="000000" w:themeColor="text1"/>
              <w:lang w:val="en"/>
              <w14:textFill>
                <w14:solidFill>
                  <w14:schemeClr w14:val="tx1"/>
                </w14:solidFill>
              </w14:textFill>
            </w:rPr>
            <w:t>全</w:t>
          </w:r>
          <w:r>
            <w:rPr>
              <w:rFonts w:hint="eastAsia"/>
              <w:color w:val="000000" w:themeColor="text1"/>
              <w14:textFill>
                <w14:solidFill>
                  <w14:schemeClr w14:val="tx1"/>
                </w14:solidFill>
              </w14:textFill>
            </w:rPr>
            <w:t>域协同</w:t>
          </w:r>
          <w:r>
            <w:rPr>
              <w:rFonts w:hint="eastAsia"/>
              <w:color w:val="000000" w:themeColor="text1"/>
              <w:lang w:val="en"/>
              <w14:textFill>
                <w14:solidFill>
                  <w14:schemeClr w14:val="tx1"/>
                </w14:solidFill>
              </w14:textFill>
            </w:rPr>
            <w:t>联动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_Toc7421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A5CEA95">
          <w:pPr>
            <w:pStyle w:val="19"/>
            <w:tabs>
              <w:tab w:val="right" w:leader="dot" w:pos="8845"/>
            </w:tabs>
            <w:rPr>
              <w:color w:val="000000" w:themeColor="text1"/>
              <w14:textFill>
                <w14:solidFill>
                  <w14:schemeClr w14:val="tx1"/>
                </w14:solidFill>
              </w14:textFill>
            </w:rPr>
          </w:pPr>
          <w:r>
            <w:fldChar w:fldCharType="begin"/>
          </w:r>
          <w:r>
            <w:instrText xml:space="preserve"> HYPERLINK \l "_Toc21440" </w:instrText>
          </w:r>
          <w:r>
            <w:fldChar w:fldCharType="separate"/>
          </w:r>
          <w:r>
            <w:rPr>
              <w:rFonts w:hint="eastAsia"/>
              <w:color w:val="000000" w:themeColor="text1"/>
              <w14:textFill>
                <w14:solidFill>
                  <w14:schemeClr w14:val="tx1"/>
                </w14:solidFill>
              </w14:textFill>
            </w:rPr>
            <w:t>第五章 加快城乡深度融合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_Toc21440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47800C0">
          <w:pPr>
            <w:pStyle w:val="25"/>
            <w:rPr>
              <w:rFonts w:ascii="黑体" w:hAnsi="黑体" w:cs="黑体"/>
              <w:color w:val="000000" w:themeColor="text1"/>
              <w14:textFill>
                <w14:solidFill>
                  <w14:schemeClr w14:val="tx1"/>
                </w14:solidFill>
              </w14:textFill>
            </w:rPr>
          </w:pPr>
          <w:r>
            <w:fldChar w:fldCharType="begin"/>
          </w:r>
          <w:r>
            <w:instrText xml:space="preserve"> HYPERLINK \l "_Toc1463" </w:instrText>
          </w:r>
          <w:r>
            <w:fldChar w:fldCharType="separate"/>
          </w:r>
          <w:r>
            <w:rPr>
              <w:rFonts w:hint="eastAsia" w:ascii="黑体" w:hAnsi="黑体" w:cs="黑体"/>
              <w:color w:val="000000" w:themeColor="text1"/>
              <w14:textFill>
                <w14:solidFill>
                  <w14:schemeClr w14:val="tx1"/>
                </w14:solidFill>
              </w14:textFill>
            </w:rPr>
            <w:t>第七篇 强力推进绿色循环发展，全域提升生态文明建设水平</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_Toc1463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71</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3ADB3279">
          <w:pPr>
            <w:pStyle w:val="19"/>
            <w:tabs>
              <w:tab w:val="right" w:leader="dot" w:pos="8845"/>
            </w:tabs>
            <w:rPr>
              <w:color w:val="000000" w:themeColor="text1"/>
              <w14:textFill>
                <w14:solidFill>
                  <w14:schemeClr w14:val="tx1"/>
                </w14:solidFill>
              </w14:textFill>
            </w:rPr>
          </w:pPr>
          <w:r>
            <w:fldChar w:fldCharType="begin"/>
          </w:r>
          <w:r>
            <w:instrText xml:space="preserve"> HYPERLINK \l "_Toc3841" </w:instrText>
          </w:r>
          <w:r>
            <w:fldChar w:fldCharType="separate"/>
          </w:r>
          <w:r>
            <w:rPr>
              <w:rFonts w:hint="eastAsia"/>
              <w:color w:val="000000" w:themeColor="text1"/>
              <w14:textFill>
                <w14:solidFill>
                  <w14:schemeClr w14:val="tx1"/>
                </w14:solidFill>
              </w14:textFill>
            </w:rPr>
            <w:t>第一章 聚力秦巴生态环境保护</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A0565FE">
          <w:pPr>
            <w:pStyle w:val="19"/>
            <w:tabs>
              <w:tab w:val="right" w:leader="dot" w:pos="8845"/>
            </w:tabs>
            <w:rPr>
              <w:color w:val="000000" w:themeColor="text1"/>
              <w14:textFill>
                <w14:solidFill>
                  <w14:schemeClr w14:val="tx1"/>
                </w14:solidFill>
              </w14:textFill>
            </w:rPr>
          </w:pPr>
          <w:r>
            <w:fldChar w:fldCharType="begin"/>
          </w:r>
          <w:r>
            <w:instrText xml:space="preserve"> HYPERLINK \l "_Toc28609" </w:instrText>
          </w:r>
          <w:r>
            <w:fldChar w:fldCharType="separate"/>
          </w:r>
          <w:r>
            <w:rPr>
              <w:rFonts w:hint="eastAsia"/>
              <w:color w:val="000000" w:themeColor="text1"/>
              <w14:textFill>
                <w14:solidFill>
                  <w14:schemeClr w14:val="tx1"/>
                </w14:solidFill>
              </w14:textFill>
            </w:rPr>
            <w:t>第二章 共护一泓清水永续北上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_Toc28609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6BB47F8">
          <w:pPr>
            <w:pStyle w:val="19"/>
            <w:tabs>
              <w:tab w:val="right" w:leader="dot" w:pos="8845"/>
            </w:tabs>
            <w:rPr>
              <w:color w:val="000000" w:themeColor="text1"/>
              <w14:textFill>
                <w14:solidFill>
                  <w14:schemeClr w14:val="tx1"/>
                </w14:solidFill>
              </w14:textFill>
            </w:rPr>
          </w:pPr>
          <w:r>
            <w:fldChar w:fldCharType="begin"/>
          </w:r>
          <w:r>
            <w:instrText xml:space="preserve"> HYPERLINK \l "_Toc2329" </w:instrText>
          </w:r>
          <w:r>
            <w:fldChar w:fldCharType="separate"/>
          </w:r>
          <w:r>
            <w:rPr>
              <w:rFonts w:hint="eastAsia"/>
              <w:color w:val="000000" w:themeColor="text1"/>
              <w14:textFill>
                <w14:solidFill>
                  <w14:schemeClr w14:val="tx1"/>
                </w14:solidFill>
              </w14:textFill>
            </w:rPr>
            <w:t>第三章 持续守好安康蓝天净土</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_Toc2329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25C8E04">
          <w:pPr>
            <w:pStyle w:val="19"/>
            <w:tabs>
              <w:tab w:val="right" w:leader="dot" w:pos="8845"/>
            </w:tabs>
            <w:rPr>
              <w:color w:val="000000" w:themeColor="text1"/>
              <w14:textFill>
                <w14:solidFill>
                  <w14:schemeClr w14:val="tx1"/>
                </w14:solidFill>
              </w14:textFill>
            </w:rPr>
          </w:pPr>
          <w:r>
            <w:fldChar w:fldCharType="begin"/>
          </w:r>
          <w:r>
            <w:instrText xml:space="preserve"> HYPERLINK \l "_Toc13820" </w:instrText>
          </w:r>
          <w:r>
            <w:fldChar w:fldCharType="separate"/>
          </w:r>
          <w:r>
            <w:rPr>
              <w:rFonts w:hint="eastAsia"/>
              <w:color w:val="000000" w:themeColor="text1"/>
              <w14:textFill>
                <w14:solidFill>
                  <w14:schemeClr w14:val="tx1"/>
                </w14:solidFill>
              </w14:textFill>
            </w:rPr>
            <w:t>第四章 加速提升绿色发展水平</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_Toc13820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116490B">
          <w:pPr>
            <w:pStyle w:val="19"/>
            <w:tabs>
              <w:tab w:val="right" w:leader="dot" w:pos="8845"/>
            </w:tabs>
            <w:rPr>
              <w:color w:val="000000" w:themeColor="text1"/>
              <w14:textFill>
                <w14:solidFill>
                  <w14:schemeClr w14:val="tx1"/>
                </w14:solidFill>
              </w14:textFill>
            </w:rPr>
          </w:pPr>
          <w:r>
            <w:fldChar w:fldCharType="begin"/>
          </w:r>
          <w:r>
            <w:instrText xml:space="preserve"> HYPERLINK \l "_Toc388" </w:instrText>
          </w:r>
          <w:r>
            <w:fldChar w:fldCharType="separate"/>
          </w:r>
          <w:r>
            <w:rPr>
              <w:rFonts w:hint="eastAsia"/>
              <w:color w:val="000000" w:themeColor="text1"/>
              <w14:textFill>
                <w14:solidFill>
                  <w14:schemeClr w14:val="tx1"/>
                </w14:solidFill>
              </w14:textFill>
            </w:rPr>
            <w:t>第五章 加快提升生态转化价值</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2A4FAFF">
          <w:pPr>
            <w:pStyle w:val="25"/>
            <w:rPr>
              <w:color w:val="000000" w:themeColor="text1"/>
              <w14:textFill>
                <w14:solidFill>
                  <w14:schemeClr w14:val="tx1"/>
                </w14:solidFill>
              </w14:textFill>
            </w:rPr>
          </w:pPr>
          <w:r>
            <w:fldChar w:fldCharType="begin"/>
          </w:r>
          <w:r>
            <w:instrText xml:space="preserve"> HYPERLINK \l "_Toc12682" </w:instrText>
          </w:r>
          <w:r>
            <w:fldChar w:fldCharType="separate"/>
          </w:r>
          <w:r>
            <w:rPr>
              <w:rFonts w:hint="eastAsia" w:ascii="黑体" w:hAnsi="黑体" w:cs="黑体"/>
              <w:color w:val="000000" w:themeColor="text1"/>
              <w14:textFill>
                <w14:solidFill>
                  <w14:schemeClr w14:val="tx1"/>
                </w14:solidFill>
              </w14:textFill>
            </w:rPr>
            <w:t>第八篇 繁荣发展文化事业，不断提升高质量发展现代化建设软实力</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_Toc12682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80</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28B2A96D">
          <w:pPr>
            <w:pStyle w:val="19"/>
            <w:tabs>
              <w:tab w:val="right" w:leader="dot" w:pos="8845"/>
            </w:tabs>
            <w:rPr>
              <w:color w:val="000000" w:themeColor="text1"/>
              <w14:textFill>
                <w14:solidFill>
                  <w14:schemeClr w14:val="tx1"/>
                </w14:solidFill>
              </w14:textFill>
            </w:rPr>
          </w:pPr>
          <w:r>
            <w:fldChar w:fldCharType="begin"/>
          </w:r>
          <w:r>
            <w:instrText xml:space="preserve"> HYPERLINK \l "_Toc3596" </w:instrText>
          </w:r>
          <w:r>
            <w:fldChar w:fldCharType="separate"/>
          </w:r>
          <w:r>
            <w:rPr>
              <w:rFonts w:hint="eastAsia"/>
              <w:color w:val="000000" w:themeColor="text1"/>
              <w14:textFill>
                <w14:solidFill>
                  <w14:schemeClr w14:val="tx1"/>
                </w14:solidFill>
              </w14:textFill>
            </w:rPr>
            <w:t>第一章 大力弘扬践行社会主义核心价值观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_Toc3596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729FF61">
          <w:pPr>
            <w:pStyle w:val="19"/>
            <w:tabs>
              <w:tab w:val="right" w:leader="dot" w:pos="8845"/>
            </w:tabs>
            <w:rPr>
              <w:color w:val="000000" w:themeColor="text1"/>
              <w14:textFill>
                <w14:solidFill>
                  <w14:schemeClr w14:val="tx1"/>
                </w14:solidFill>
              </w14:textFill>
            </w:rPr>
          </w:pPr>
          <w:r>
            <w:fldChar w:fldCharType="begin"/>
          </w:r>
          <w:r>
            <w:instrText xml:space="preserve"> HYPERLINK \l "_Toc1400" </w:instrText>
          </w:r>
          <w:r>
            <w:fldChar w:fldCharType="separate"/>
          </w:r>
          <w:r>
            <w:rPr>
              <w:rFonts w:hint="eastAsia"/>
              <w:color w:val="000000" w:themeColor="text1"/>
              <w14:textFill>
                <w14:solidFill>
                  <w14:schemeClr w14:val="tx1"/>
                </w14:solidFill>
              </w14:textFill>
            </w:rPr>
            <w:t>第二章 加强文化遗产保护传承利用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AA3D7AD">
          <w:pPr>
            <w:pStyle w:val="19"/>
            <w:tabs>
              <w:tab w:val="right" w:leader="dot" w:pos="8845"/>
            </w:tabs>
            <w:rPr>
              <w:color w:val="000000" w:themeColor="text1"/>
              <w14:textFill>
                <w14:solidFill>
                  <w14:schemeClr w14:val="tx1"/>
                </w14:solidFill>
              </w14:textFill>
            </w:rPr>
          </w:pPr>
          <w:r>
            <w:fldChar w:fldCharType="begin"/>
          </w:r>
          <w:r>
            <w:instrText xml:space="preserve"> HYPERLINK \l "_Toc16464" </w:instrText>
          </w:r>
          <w:r>
            <w:fldChar w:fldCharType="separate"/>
          </w:r>
          <w:r>
            <w:rPr>
              <w:rFonts w:hint="eastAsia"/>
              <w:color w:val="000000" w:themeColor="text1"/>
              <w14:textFill>
                <w14:solidFill>
                  <w14:schemeClr w14:val="tx1"/>
                </w14:solidFill>
              </w14:textFill>
            </w:rPr>
            <w:t>第三章 优化文化服务和文化产品供给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_Toc16464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FA254DB">
          <w:pPr>
            <w:pStyle w:val="25"/>
            <w:rPr>
              <w:rFonts w:ascii="黑体" w:hAnsi="黑体" w:cs="黑体"/>
              <w:color w:val="000000" w:themeColor="text1"/>
              <w14:textFill>
                <w14:solidFill>
                  <w14:schemeClr w14:val="tx1"/>
                </w14:solidFill>
              </w14:textFill>
            </w:rPr>
          </w:pPr>
          <w:r>
            <w:fldChar w:fldCharType="begin"/>
          </w:r>
          <w:r>
            <w:instrText xml:space="preserve"> HYPERLINK \l "_Toc5283" </w:instrText>
          </w:r>
          <w:r>
            <w:fldChar w:fldCharType="separate"/>
          </w:r>
          <w:r>
            <w:rPr>
              <w:rFonts w:hint="eastAsia" w:ascii="黑体" w:hAnsi="黑体" w:cs="黑体"/>
              <w:color w:val="000000" w:themeColor="text1"/>
              <w14:textFill>
                <w14:solidFill>
                  <w14:schemeClr w14:val="tx1"/>
                </w14:solidFill>
              </w14:textFill>
            </w:rPr>
            <w:t>第九篇 倾力保障和改善民生，提升人民生活品质</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_Toc5283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85</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516E2913">
          <w:pPr>
            <w:pStyle w:val="19"/>
            <w:tabs>
              <w:tab w:val="right" w:leader="dot" w:pos="8845"/>
            </w:tabs>
            <w:rPr>
              <w:color w:val="000000" w:themeColor="text1"/>
              <w14:textFill>
                <w14:solidFill>
                  <w14:schemeClr w14:val="tx1"/>
                </w14:solidFill>
              </w14:textFill>
            </w:rPr>
          </w:pPr>
          <w:r>
            <w:fldChar w:fldCharType="begin"/>
          </w:r>
          <w:r>
            <w:instrText xml:space="preserve"> HYPERLINK \l "_Toc4231" </w:instrText>
          </w:r>
          <w:r>
            <w:fldChar w:fldCharType="separate"/>
          </w:r>
          <w:r>
            <w:rPr>
              <w:rFonts w:hint="eastAsia"/>
              <w:color w:val="000000" w:themeColor="text1"/>
              <w14:textFill>
                <w14:solidFill>
                  <w14:schemeClr w14:val="tx1"/>
                </w14:solidFill>
              </w14:textFill>
            </w:rPr>
            <w:t>第一章 促进城乡居民稳定就业增收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_Toc4231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05D3F58">
          <w:pPr>
            <w:pStyle w:val="19"/>
            <w:tabs>
              <w:tab w:val="right" w:leader="dot" w:pos="8845"/>
            </w:tabs>
            <w:rPr>
              <w:color w:val="000000" w:themeColor="text1"/>
              <w14:textFill>
                <w14:solidFill>
                  <w14:schemeClr w14:val="tx1"/>
                </w14:solidFill>
              </w14:textFill>
            </w:rPr>
          </w:pPr>
          <w:r>
            <w:fldChar w:fldCharType="begin"/>
          </w:r>
          <w:r>
            <w:instrText xml:space="preserve"> HYPERLINK \l "_Toc23534" </w:instrText>
          </w:r>
          <w:r>
            <w:fldChar w:fldCharType="separate"/>
          </w:r>
          <w:r>
            <w:rPr>
              <w:rFonts w:hint="eastAsia"/>
              <w:color w:val="000000" w:themeColor="text1"/>
              <w14:textFill>
                <w14:solidFill>
                  <w14:schemeClr w14:val="tx1"/>
                </w14:solidFill>
              </w14:textFill>
            </w:rPr>
            <w:t>第二章 办好人民满意的教育</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_Toc23534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344341D">
          <w:pPr>
            <w:pStyle w:val="19"/>
            <w:tabs>
              <w:tab w:val="right" w:leader="dot" w:pos="8845"/>
            </w:tabs>
            <w:rPr>
              <w:color w:val="000000" w:themeColor="text1"/>
              <w14:textFill>
                <w14:solidFill>
                  <w14:schemeClr w14:val="tx1"/>
                </w14:solidFill>
              </w14:textFill>
            </w:rPr>
          </w:pPr>
          <w:r>
            <w:fldChar w:fldCharType="begin"/>
          </w:r>
          <w:r>
            <w:instrText xml:space="preserve"> HYPERLINK \l "_Toc32622" </w:instrText>
          </w:r>
          <w:r>
            <w:fldChar w:fldCharType="separate"/>
          </w:r>
          <w:r>
            <w:rPr>
              <w:rFonts w:hint="eastAsia"/>
              <w:color w:val="000000" w:themeColor="text1"/>
              <w14:textFill>
                <w14:solidFill>
                  <w14:schemeClr w14:val="tx1"/>
                </w14:solidFill>
              </w14:textFill>
            </w:rPr>
            <w:t>第三章 优化体育服务供给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_Toc32622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B19C2C9">
          <w:pPr>
            <w:pStyle w:val="19"/>
            <w:tabs>
              <w:tab w:val="right" w:leader="dot" w:pos="8845"/>
            </w:tabs>
            <w:rPr>
              <w:color w:val="000000" w:themeColor="text1"/>
              <w14:textFill>
                <w14:solidFill>
                  <w14:schemeClr w14:val="tx1"/>
                </w14:solidFill>
              </w14:textFill>
            </w:rPr>
          </w:pPr>
          <w:r>
            <w:fldChar w:fldCharType="begin"/>
          </w:r>
          <w:r>
            <w:instrText xml:space="preserve"> HYPERLINK \l "_Toc31492" </w:instrText>
          </w:r>
          <w:r>
            <w:fldChar w:fldCharType="separate"/>
          </w:r>
          <w:r>
            <w:rPr>
              <w:rFonts w:hint="eastAsia"/>
              <w:color w:val="000000" w:themeColor="text1"/>
              <w14:textFill>
                <w14:solidFill>
                  <w14:schemeClr w14:val="tx1"/>
                </w14:solidFill>
              </w14:textFill>
            </w:rPr>
            <w:t>第四章 健全社会保障体系</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_Toc31492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372BE2D">
          <w:pPr>
            <w:pStyle w:val="19"/>
            <w:tabs>
              <w:tab w:val="right" w:leader="dot" w:pos="8845"/>
            </w:tabs>
            <w:rPr>
              <w:color w:val="000000" w:themeColor="text1"/>
              <w14:textFill>
                <w14:solidFill>
                  <w14:schemeClr w14:val="tx1"/>
                </w14:solidFill>
              </w14:textFill>
            </w:rPr>
          </w:pPr>
          <w:r>
            <w:fldChar w:fldCharType="begin"/>
          </w:r>
          <w:r>
            <w:instrText xml:space="preserve"> HYPERLINK \l "_Toc12407" </w:instrText>
          </w:r>
          <w:r>
            <w:fldChar w:fldCharType="separate"/>
          </w:r>
          <w:r>
            <w:rPr>
              <w:rFonts w:hint="eastAsia"/>
              <w:color w:val="000000" w:themeColor="text1"/>
              <w14:textFill>
                <w14:solidFill>
                  <w14:schemeClr w14:val="tx1"/>
                </w14:solidFill>
              </w14:textFill>
            </w:rPr>
            <w:t>第五章 推进健康安康建设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_Toc12407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A2ECFA0">
          <w:pPr>
            <w:pStyle w:val="19"/>
            <w:tabs>
              <w:tab w:val="right" w:leader="dot" w:pos="8845"/>
            </w:tabs>
            <w:rPr>
              <w:color w:val="000000" w:themeColor="text1"/>
              <w14:textFill>
                <w14:solidFill>
                  <w14:schemeClr w14:val="tx1"/>
                </w14:solidFill>
              </w14:textFill>
            </w:rPr>
          </w:pPr>
          <w:r>
            <w:fldChar w:fldCharType="begin"/>
          </w:r>
          <w:r>
            <w:instrText xml:space="preserve"> HYPERLINK \l "_Toc18480" </w:instrText>
          </w:r>
          <w:r>
            <w:fldChar w:fldCharType="separate"/>
          </w:r>
          <w:r>
            <w:rPr>
              <w:rFonts w:hint="eastAsia"/>
              <w:color w:val="000000" w:themeColor="text1"/>
              <w14:textFill>
                <w14:solidFill>
                  <w14:schemeClr w14:val="tx1"/>
                </w14:solidFill>
              </w14:textFill>
            </w:rPr>
            <w:t>第六章 促进人口高质量发展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_Toc18480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6C682DD">
          <w:pPr>
            <w:pStyle w:val="25"/>
            <w:rPr>
              <w:rFonts w:ascii="黑体" w:hAnsi="黑体" w:cs="黑体"/>
              <w:color w:val="000000" w:themeColor="text1"/>
              <w14:textFill>
                <w14:solidFill>
                  <w14:schemeClr w14:val="tx1"/>
                </w14:solidFill>
              </w14:textFill>
            </w:rPr>
          </w:pPr>
          <w:r>
            <w:fldChar w:fldCharType="begin"/>
          </w:r>
          <w:r>
            <w:instrText xml:space="preserve"> HYPERLINK \l "_Toc1723" </w:instrText>
          </w:r>
          <w:r>
            <w:fldChar w:fldCharType="separate"/>
          </w:r>
          <w:r>
            <w:rPr>
              <w:rFonts w:hint="eastAsia" w:ascii="黑体" w:hAnsi="黑体" w:cs="黑体"/>
              <w:color w:val="000000" w:themeColor="text1"/>
              <w14:textFill>
                <w14:solidFill>
                  <w14:schemeClr w14:val="tx1"/>
                </w14:solidFill>
              </w14:textFill>
            </w:rPr>
            <w:t>第十篇 牢牢守住安全发展底线，建设更高水平平安安康</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_Toc1723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95</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178CC291">
          <w:pPr>
            <w:pStyle w:val="19"/>
            <w:tabs>
              <w:tab w:val="right" w:leader="dot" w:pos="8845"/>
            </w:tabs>
            <w:rPr>
              <w:color w:val="000000" w:themeColor="text1"/>
              <w14:textFill>
                <w14:solidFill>
                  <w14:schemeClr w14:val="tx1"/>
                </w14:solidFill>
              </w14:textFill>
            </w:rPr>
          </w:pPr>
          <w:r>
            <w:fldChar w:fldCharType="begin"/>
          </w:r>
          <w:r>
            <w:instrText xml:space="preserve"> HYPERLINK \l "_Toc28707" </w:instrText>
          </w:r>
          <w:r>
            <w:fldChar w:fldCharType="separate"/>
          </w:r>
          <w:r>
            <w:rPr>
              <w:rFonts w:hint="eastAsia"/>
              <w:color w:val="000000" w:themeColor="text1"/>
              <w14:textFill>
                <w14:solidFill>
                  <w14:schemeClr w14:val="tx1"/>
                </w14:solidFill>
              </w14:textFill>
            </w:rPr>
            <w:t>第一章 坚决维护国家安全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_Toc28707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049DFC7">
          <w:pPr>
            <w:pStyle w:val="19"/>
            <w:tabs>
              <w:tab w:val="right" w:leader="dot" w:pos="8845"/>
            </w:tabs>
            <w:rPr>
              <w:color w:val="000000" w:themeColor="text1"/>
              <w14:textFill>
                <w14:solidFill>
                  <w14:schemeClr w14:val="tx1"/>
                </w14:solidFill>
              </w14:textFill>
            </w:rPr>
          </w:pPr>
          <w:r>
            <w:fldChar w:fldCharType="begin"/>
          </w:r>
          <w:r>
            <w:instrText xml:space="preserve"> HYPERLINK \l "_Toc25155" </w:instrText>
          </w:r>
          <w:r>
            <w:fldChar w:fldCharType="separate"/>
          </w:r>
          <w:r>
            <w:rPr>
              <w:rFonts w:hint="eastAsia"/>
              <w:color w:val="000000" w:themeColor="text1"/>
              <w14:textFill>
                <w14:solidFill>
                  <w14:schemeClr w14:val="tx1"/>
                </w14:solidFill>
              </w14:textFill>
            </w:rPr>
            <w:t>第二章 有力防范化解重点领域风险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_Toc25155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6D7C42E">
          <w:pPr>
            <w:pStyle w:val="19"/>
            <w:tabs>
              <w:tab w:val="right" w:leader="dot" w:pos="8845"/>
            </w:tabs>
            <w:rPr>
              <w:color w:val="000000" w:themeColor="text1"/>
              <w14:textFill>
                <w14:solidFill>
                  <w14:schemeClr w14:val="tx1"/>
                </w14:solidFill>
              </w14:textFill>
            </w:rPr>
          </w:pPr>
          <w:r>
            <w:fldChar w:fldCharType="begin"/>
          </w:r>
          <w:r>
            <w:instrText xml:space="preserve"> HYPERLINK \l "_Toc26768" </w:instrText>
          </w:r>
          <w:r>
            <w:fldChar w:fldCharType="separate"/>
          </w:r>
          <w:r>
            <w:rPr>
              <w:rFonts w:hint="eastAsia"/>
              <w:color w:val="000000" w:themeColor="text1"/>
              <w14:textFill>
                <w14:solidFill>
                  <w14:schemeClr w14:val="tx1"/>
                </w14:solidFill>
              </w14:textFill>
            </w:rPr>
            <w:t>第三章 切实保障公共安全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_Toc26768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23EFA3A">
          <w:pPr>
            <w:pStyle w:val="19"/>
            <w:tabs>
              <w:tab w:val="right" w:leader="dot" w:pos="8845"/>
            </w:tabs>
            <w:rPr>
              <w:color w:val="000000" w:themeColor="text1"/>
              <w14:textFill>
                <w14:solidFill>
                  <w14:schemeClr w14:val="tx1"/>
                </w14:solidFill>
              </w14:textFill>
            </w:rPr>
          </w:pPr>
          <w:r>
            <w:fldChar w:fldCharType="begin"/>
          </w:r>
          <w:r>
            <w:instrText xml:space="preserve"> HYPERLINK \l "_Toc18575" </w:instrText>
          </w:r>
          <w:r>
            <w:fldChar w:fldCharType="separate"/>
          </w:r>
          <w:r>
            <w:rPr>
              <w:rFonts w:hint="eastAsia"/>
              <w:color w:val="000000" w:themeColor="text1"/>
              <w14:textFill>
                <w14:solidFill>
                  <w14:schemeClr w14:val="tx1"/>
                </w14:solidFill>
              </w14:textFill>
            </w:rPr>
            <w:t>第四章 全面加强社会治理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_Toc18575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C621867">
          <w:pPr>
            <w:pStyle w:val="19"/>
            <w:tabs>
              <w:tab w:val="right" w:leader="dot" w:pos="8845"/>
            </w:tabs>
            <w:rPr>
              <w:color w:val="000000" w:themeColor="text1"/>
              <w14:textFill>
                <w14:solidFill>
                  <w14:schemeClr w14:val="tx1"/>
                </w14:solidFill>
              </w14:textFill>
            </w:rPr>
          </w:pPr>
          <w:r>
            <w:fldChar w:fldCharType="begin"/>
          </w:r>
          <w:r>
            <w:instrText xml:space="preserve"> HYPERLINK \l "_Toc29964" </w:instrText>
          </w:r>
          <w:r>
            <w:fldChar w:fldCharType="separate"/>
          </w:r>
          <w:r>
            <w:rPr>
              <w:rFonts w:hint="eastAsia"/>
              <w:color w:val="000000" w:themeColor="text1"/>
              <w14:textFill>
                <w14:solidFill>
                  <w14:schemeClr w14:val="tx1"/>
                </w14:solidFill>
              </w14:textFill>
            </w:rPr>
            <w:t>第五章 提升应急救援和防灾减灾能力</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_Toc29964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29DB14F">
          <w:pPr>
            <w:pStyle w:val="19"/>
            <w:tabs>
              <w:tab w:val="right" w:leader="dot" w:pos="8845"/>
            </w:tabs>
            <w:rPr>
              <w:color w:val="000000" w:themeColor="text1"/>
              <w14:textFill>
                <w14:solidFill>
                  <w14:schemeClr w14:val="tx1"/>
                </w14:solidFill>
              </w14:textFill>
            </w:rPr>
          </w:pPr>
          <w:r>
            <w:fldChar w:fldCharType="begin"/>
          </w:r>
          <w:r>
            <w:instrText xml:space="preserve"> HYPERLINK \l "_Toc23192" </w:instrText>
          </w:r>
          <w:r>
            <w:fldChar w:fldCharType="separate"/>
          </w:r>
          <w:r>
            <w:rPr>
              <w:rFonts w:hint="eastAsia"/>
              <w:color w:val="000000" w:themeColor="text1"/>
              <w14:textFill>
                <w14:solidFill>
                  <w14:schemeClr w14:val="tx1"/>
                </w14:solidFill>
              </w14:textFill>
            </w:rPr>
            <w:t>第六章 扎实推进法治安康建设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_Toc23192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9476021">
          <w:pPr>
            <w:pStyle w:val="25"/>
            <w:rPr>
              <w:rFonts w:ascii="黑体" w:hAnsi="黑体" w:cs="黑体"/>
              <w:color w:val="000000" w:themeColor="text1"/>
              <w14:textFill>
                <w14:solidFill>
                  <w14:schemeClr w14:val="tx1"/>
                </w14:solidFill>
              </w14:textFill>
            </w:rPr>
          </w:pPr>
          <w:r>
            <w:fldChar w:fldCharType="begin"/>
          </w:r>
          <w:r>
            <w:instrText xml:space="preserve"> HYPERLINK \l "_Toc14232" </w:instrText>
          </w:r>
          <w:r>
            <w:fldChar w:fldCharType="separate"/>
          </w:r>
          <w:r>
            <w:rPr>
              <w:rFonts w:hint="eastAsia" w:ascii="黑体" w:hAnsi="黑体" w:cs="黑体"/>
              <w:color w:val="000000" w:themeColor="text1"/>
              <w14:textFill>
                <w14:solidFill>
                  <w14:schemeClr w14:val="tx1"/>
                </w14:solidFill>
              </w14:textFill>
            </w:rPr>
            <w:t>第十一篇 坚持和加强党的全面领导，为实现“十五五”规划提供坚强保证</w:t>
          </w:r>
          <w:r>
            <w:rPr>
              <w:rFonts w:hint="eastAsia" w:ascii="黑体" w:hAnsi="黑体" w:cs="黑体"/>
              <w:color w:val="000000" w:themeColor="text1"/>
              <w14:textFill>
                <w14:solidFill>
                  <w14:schemeClr w14:val="tx1"/>
                </w14:solidFill>
              </w14:textFill>
            </w:rPr>
            <w:tab/>
          </w:r>
          <w:r>
            <w:rPr>
              <w:rFonts w:hint="eastAsia" w:ascii="黑体" w:hAnsi="黑体" w:cs="黑体"/>
              <w:color w:val="000000" w:themeColor="text1"/>
              <w14:textFill>
                <w14:solidFill>
                  <w14:schemeClr w14:val="tx1"/>
                </w14:solidFill>
              </w14:textFill>
            </w:rPr>
            <w:fldChar w:fldCharType="begin"/>
          </w:r>
          <w:r>
            <w:rPr>
              <w:rFonts w:hint="eastAsia" w:ascii="黑体" w:hAnsi="黑体" w:cs="黑体"/>
              <w:color w:val="000000" w:themeColor="text1"/>
              <w14:textFill>
                <w14:solidFill>
                  <w14:schemeClr w14:val="tx1"/>
                </w14:solidFill>
              </w14:textFill>
            </w:rPr>
            <w:instrText xml:space="preserve"> PAGEREF _Toc14232 \h </w:instrText>
          </w:r>
          <w:r>
            <w:rPr>
              <w:rFonts w:hint="eastAsia" w:ascii="黑体" w:hAnsi="黑体" w:cs="黑体"/>
              <w:color w:val="000000" w:themeColor="text1"/>
              <w14:textFill>
                <w14:solidFill>
                  <w14:schemeClr w14:val="tx1"/>
                </w14:solidFill>
              </w14:textFill>
            </w:rPr>
            <w:fldChar w:fldCharType="separate"/>
          </w:r>
          <w:r>
            <w:rPr>
              <w:rFonts w:ascii="黑体" w:hAnsi="黑体" w:cs="黑体"/>
              <w:color w:val="000000" w:themeColor="text1"/>
              <w14:textFill>
                <w14:solidFill>
                  <w14:schemeClr w14:val="tx1"/>
                </w14:solidFill>
              </w14:textFill>
            </w:rPr>
            <w:t>103</w:t>
          </w:r>
          <w:r>
            <w:rPr>
              <w:rFonts w:hint="eastAsia" w:ascii="黑体" w:hAnsi="黑体" w:cs="黑体"/>
              <w:color w:val="000000" w:themeColor="text1"/>
              <w14:textFill>
                <w14:solidFill>
                  <w14:schemeClr w14:val="tx1"/>
                </w14:solidFill>
              </w14:textFill>
            </w:rPr>
            <w:fldChar w:fldCharType="end"/>
          </w:r>
          <w:r>
            <w:rPr>
              <w:rFonts w:hint="eastAsia" w:ascii="黑体" w:hAnsi="黑体" w:cs="黑体"/>
              <w:color w:val="000000" w:themeColor="text1"/>
              <w14:textFill>
                <w14:solidFill>
                  <w14:schemeClr w14:val="tx1"/>
                </w14:solidFill>
              </w14:textFill>
            </w:rPr>
            <w:fldChar w:fldCharType="end"/>
          </w:r>
        </w:p>
        <w:p w14:paraId="7EDCD9FE">
          <w:pPr>
            <w:pStyle w:val="19"/>
            <w:tabs>
              <w:tab w:val="right" w:leader="dot" w:pos="8845"/>
            </w:tabs>
            <w:rPr>
              <w:color w:val="000000" w:themeColor="text1"/>
              <w14:textFill>
                <w14:solidFill>
                  <w14:schemeClr w14:val="tx1"/>
                </w14:solidFill>
              </w14:textFill>
            </w:rPr>
          </w:pPr>
          <w:r>
            <w:fldChar w:fldCharType="begin"/>
          </w:r>
          <w:r>
            <w:instrText xml:space="preserve"> HYPERLINK \l "_Toc19357" </w:instrText>
          </w:r>
          <w:r>
            <w:fldChar w:fldCharType="separate"/>
          </w:r>
          <w:r>
            <w:rPr>
              <w:rFonts w:hint="eastAsia"/>
              <w:color w:val="000000" w:themeColor="text1"/>
              <w14:textFill>
                <w14:solidFill>
                  <w14:schemeClr w14:val="tx1"/>
                </w14:solidFill>
              </w14:textFill>
            </w:rPr>
            <w:t>第一章 坚持和加强党的全面领导</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_Toc19357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F5C3CA6">
          <w:pPr>
            <w:pStyle w:val="19"/>
            <w:tabs>
              <w:tab w:val="right" w:leader="dot" w:pos="8845"/>
            </w:tabs>
            <w:rPr>
              <w:color w:val="000000" w:themeColor="text1"/>
              <w14:textFill>
                <w14:solidFill>
                  <w14:schemeClr w14:val="tx1"/>
                </w14:solidFill>
              </w14:textFill>
            </w:rPr>
          </w:pPr>
          <w:r>
            <w:fldChar w:fldCharType="begin"/>
          </w:r>
          <w:r>
            <w:instrText xml:space="preserve"> HYPERLINK \l "_Toc21172" </w:instrText>
          </w:r>
          <w:r>
            <w:fldChar w:fldCharType="separate"/>
          </w:r>
          <w:r>
            <w:rPr>
              <w:rFonts w:hint="eastAsia"/>
              <w:color w:val="000000" w:themeColor="text1"/>
              <w14:textFill>
                <w14:solidFill>
                  <w14:schemeClr w14:val="tx1"/>
                </w14:solidFill>
              </w14:textFill>
            </w:rPr>
            <w:t>第二章 加强规划组织实施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_Toc21172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11F5EBA">
          <w:pPr>
            <w:pStyle w:val="19"/>
            <w:tabs>
              <w:tab w:val="right" w:leader="dot" w:pos="8845"/>
            </w:tabs>
            <w:rPr>
              <w:color w:val="000000" w:themeColor="text1"/>
              <w14:textFill>
                <w14:solidFill>
                  <w14:schemeClr w14:val="tx1"/>
                </w14:solidFill>
              </w14:textFill>
            </w:rPr>
          </w:pPr>
          <w:r>
            <w:fldChar w:fldCharType="begin"/>
          </w:r>
          <w:r>
            <w:instrText xml:space="preserve"> HYPERLINK \l "_Toc26476" </w:instrText>
          </w:r>
          <w:r>
            <w:fldChar w:fldCharType="separate"/>
          </w:r>
          <w:r>
            <w:rPr>
              <w:rFonts w:hint="eastAsia"/>
              <w:color w:val="000000" w:themeColor="text1"/>
              <w14:textFill>
                <w14:solidFill>
                  <w14:schemeClr w14:val="tx1"/>
                </w14:solidFill>
              </w14:textFill>
            </w:rPr>
            <w:t>第三章 健全监测监督机制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_Toc26476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15D68F8">
          <w:pPr>
            <w:rPr>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Cs w:val="32"/>
              <w14:textFill>
                <w14:solidFill>
                  <w14:schemeClr w14:val="tx1"/>
                </w14:solidFill>
              </w14:textFill>
            </w:rPr>
            <w:fldChar w:fldCharType="end"/>
          </w:r>
        </w:p>
      </w:sdtContent>
    </w:sdt>
    <w:p w14:paraId="1C57A142">
      <w:pPr>
        <w:overflowPunct w:val="0"/>
        <w:topLinePunct/>
        <w:spacing w:before="156" w:beforeLines="50" w:after="156" w:afterLines="50" w:line="560" w:lineRule="exact"/>
        <w:jc w:val="center"/>
        <w:rPr>
          <w:rFonts w:ascii="方正小标宋简体" w:hAnsi="方正小标宋简体" w:eastAsia="方正小标宋简体" w:cs="方正小标宋简体"/>
          <w:color w:val="000000" w:themeColor="text1"/>
          <w:sz w:val="40"/>
          <w:szCs w:val="40"/>
          <w14:textFill>
            <w14:solidFill>
              <w14:schemeClr w14:val="tx1"/>
            </w14:solidFill>
          </w14:textFill>
        </w:rPr>
        <w:sectPr>
          <w:footerReference r:id="rId3" w:type="default"/>
          <w:footerReference r:id="rId4" w:type="even"/>
          <w:pgSz w:w="11906" w:h="16838"/>
          <w:pgMar w:top="2098" w:right="1474" w:bottom="1984" w:left="1587" w:header="851" w:footer="1531" w:gutter="0"/>
          <w:pgNumType w:start="1"/>
          <w:cols w:space="0" w:num="1"/>
          <w:docGrid w:type="lines" w:linePitch="312" w:charSpace="0"/>
        </w:sectPr>
      </w:pPr>
    </w:p>
    <w:p w14:paraId="642FDFFE">
      <w:pPr>
        <w:overflowPunct w:val="0"/>
        <w:topLinePunct/>
        <w:spacing w:before="156" w:beforeLines="50" w:after="156" w:afterLines="50" w:line="560" w:lineRule="exact"/>
        <w:jc w:val="center"/>
        <w:rPr>
          <w:rFonts w:ascii="方正小标宋简体" w:hAnsi="方正小标宋简体" w:eastAsia="方正小标宋简体" w:cs="方正小标宋简体"/>
          <w:b/>
          <w:bC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前  言</w:t>
      </w:r>
    </w:p>
    <w:p w14:paraId="5178D1FD">
      <w:pPr>
        <w:overflowPunct w:val="0"/>
        <w:topLinePunct/>
        <w:spacing w:line="560" w:lineRule="exact"/>
        <w:rPr>
          <w:rFonts w:ascii="微软雅黑" w:hAnsi="Times New Roman" w:eastAsia="微软雅黑" w:cs="Times New Roman"/>
          <w:b/>
          <w:bCs/>
          <w:color w:val="000000" w:themeColor="text1"/>
          <w:sz w:val="44"/>
          <w:szCs w:val="44"/>
          <w14:textFill>
            <w14:solidFill>
              <w14:schemeClr w14:val="tx1"/>
            </w14:solidFill>
          </w14:textFill>
        </w:rPr>
      </w:pPr>
      <w:r>
        <w:rPr>
          <w:rFonts w:hint="eastAsia" w:ascii="微软雅黑" w:hAnsi="Times New Roman" w:eastAsia="微软雅黑" w:cs="Times New Roman"/>
          <w:b/>
          <w:bCs/>
          <w:color w:val="000000" w:themeColor="text1"/>
          <w:sz w:val="44"/>
          <w:szCs w:val="44"/>
          <w14:textFill>
            <w14:solidFill>
              <w14:schemeClr w14:val="tx1"/>
            </w14:solidFill>
          </w14:textFill>
        </w:rPr>
        <w:t xml:space="preserve">  </w:t>
      </w:r>
    </w:p>
    <w:p w14:paraId="3A663338">
      <w:pPr>
        <w:overflowPunct w:val="0"/>
        <w:topLinePunct/>
        <w:spacing w:line="560" w:lineRule="exact"/>
        <w:ind w:firstLine="640"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color w:val="000000" w:themeColor="text1"/>
          <w:sz w:val="32"/>
          <w:szCs w:val="32"/>
          <w14:textFill>
            <w14:solidFill>
              <w14:schemeClr w14:val="tx1"/>
            </w14:solidFill>
          </w14:textFill>
        </w:rPr>
        <w:t>“十五五”时期（2026—2030年），是基本实现社会主义现代化夯实基础、全面发力的关键时期，是深入贯彻落实党的二十大和二十届历次全会精神，深学笃行习近平新时代中国特色社会主义思想，进一步全面深化改革推动经济社会高质量发展的关键五年，也是全市坚定不移走“生态优先、绿色升级”之路，</w:t>
      </w:r>
      <w:r>
        <w:rPr>
          <w:rFonts w:hint="eastAsia" w:ascii="仿宋_GB2312" w:hAnsi="仿宋_GB2312" w:eastAsia="仿宋_GB2312" w:cs="仿宋_GB2312"/>
          <w:color w:val="000000" w:themeColor="text1"/>
          <w:sz w:val="32"/>
          <w:szCs w:val="32"/>
          <w14:textFill>
            <w14:solidFill>
              <w14:schemeClr w14:val="tx1"/>
            </w14:solidFill>
          </w14:textFill>
        </w:rPr>
        <w:t>在中国式现代化道路上聚力建设幸福安康乘势而上、接续突破的重要时期。根据党的二十届四中全会和省委十四届九次全会、市委五届十次全会精神，编制和实施好安</w:t>
      </w:r>
      <w:r>
        <w:rPr>
          <w:rFonts w:hint="eastAsia" w:ascii="仿宋_GB2312" w:hAnsi="方正仿宋_GB2312" w:eastAsia="仿宋_GB2312" w:cs="方正仿宋_GB2312"/>
          <w:color w:val="000000" w:themeColor="text1"/>
          <w:sz w:val="32"/>
          <w:szCs w:val="32"/>
          <w14:textFill>
            <w14:solidFill>
              <w14:schemeClr w14:val="tx1"/>
            </w14:solidFill>
          </w14:textFill>
        </w:rPr>
        <w:t>康市国民经济和社会发展第十五个五年规划纲要，意义重大、影响深远。</w:t>
      </w:r>
    </w:p>
    <w:p w14:paraId="17EE4399">
      <w:pPr>
        <w:overflowPunct w:val="0"/>
        <w:topLinePunct/>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全市“十五五”发展规划体系，由本规划《纲要》、市级专项规划和县（市、区）发展规划组成。</w:t>
      </w:r>
      <w:r>
        <w:rPr>
          <w:rFonts w:hint="eastAsia" w:ascii="仿宋_GB2312" w:hAnsi="方正仿宋_GB2312" w:eastAsia="仿宋_GB2312" w:cs="方正仿宋_GB2312"/>
          <w:color w:val="000000" w:themeColor="text1"/>
          <w:sz w:val="32"/>
          <w:szCs w:val="32"/>
          <w14:textFill>
            <w14:solidFill>
              <w14:schemeClr w14:val="tx1"/>
            </w14:solidFill>
          </w14:textFill>
        </w:rPr>
        <w:t>本规划《纲要》突出基础性、指导性、战略性，主要阐明“十五五”时期全市经济社会发展的战略方向和主要目标，明确政府各项工作重点，是深化落实习近平总书记来陕来安考察重要讲话重要指示的路径安排，是</w:t>
      </w:r>
      <w:r>
        <w:rPr>
          <w:rFonts w:hint="eastAsia" w:ascii="仿宋_GB2312" w:hAnsi="仿宋_GB2312" w:eastAsia="仿宋_GB2312" w:cs="仿宋_GB2312"/>
          <w:color w:val="000000" w:themeColor="text1"/>
          <w:kern w:val="0"/>
          <w:sz w:val="32"/>
          <w:szCs w:val="32"/>
          <w14:textFill>
            <w14:solidFill>
              <w14:schemeClr w14:val="tx1"/>
            </w14:solidFill>
          </w14:textFill>
        </w:rPr>
        <w:t>在中国式现代化道路上聚力建设幸福安康的行动指南，</w:t>
      </w:r>
      <w:r>
        <w:rPr>
          <w:rFonts w:hint="eastAsia" w:ascii="仿宋_GB2312" w:hAnsi="方正仿宋_GB2312" w:eastAsia="仿宋_GB2312" w:cs="方正仿宋_GB2312"/>
          <w:color w:val="000000" w:themeColor="text1"/>
          <w:sz w:val="32"/>
          <w:szCs w:val="32"/>
          <w14:textFill>
            <w14:solidFill>
              <w14:schemeClr w14:val="tx1"/>
            </w14:solidFill>
          </w14:textFill>
        </w:rPr>
        <w:t>也是政府履行经济调节、市场监管、公共服务、社会管理、生态环境保护等职能的重要依据，是全市人民接续奋斗的共同遵循和行动纲领</w:t>
      </w:r>
      <w:r>
        <w:rPr>
          <w:rFonts w:hint="eastAsia" w:ascii="仿宋_GB2312" w:hAnsi="仿宋_GB2312" w:eastAsia="仿宋_GB2312" w:cs="仿宋_GB2312"/>
          <w:color w:val="000000" w:themeColor="text1"/>
          <w:sz w:val="32"/>
          <w:szCs w:val="32"/>
          <w14:textFill>
            <w14:solidFill>
              <w14:schemeClr w14:val="tx1"/>
            </w14:solidFill>
          </w14:textFill>
        </w:rPr>
        <w:t>。</w:t>
      </w:r>
    </w:p>
    <w:p w14:paraId="3FC43E23">
      <w:pPr>
        <w:overflowPunct w:val="0"/>
        <w:topLinePunct/>
        <w:spacing w:line="560" w:lineRule="exact"/>
        <w:ind w:firstLine="643" w:firstLineChars="200"/>
        <w:rPr>
          <w:rFonts w:ascii="仿宋_GB2312" w:hAnsi="Times New Roman" w:eastAsia="仿宋_GB2312" w:cs="Times New Roman"/>
          <w:b/>
          <w:bCs/>
          <w:color w:val="000000" w:themeColor="text1"/>
          <w:sz w:val="32"/>
          <w:szCs w:val="32"/>
          <w14:textFill>
            <w14:solidFill>
              <w14:schemeClr w14:val="tx1"/>
            </w14:solidFill>
          </w14:textFill>
        </w:rPr>
      </w:pPr>
    </w:p>
    <w:p w14:paraId="250B29AA">
      <w:pPr>
        <w:pStyle w:val="5"/>
        <w:numPr>
          <w:ilvl w:val="255"/>
          <w:numId w:val="0"/>
        </w:numPr>
        <w:overflowPunct w:val="0"/>
        <w:topLinePunct/>
        <w:spacing w:before="312" w:after="0" w:afterLines="0"/>
        <w:rPr>
          <w:rFonts w:ascii="方正小标宋简体" w:hAnsi="方正小标宋简体" w:eastAsia="方正小标宋简体" w:cs="方正小标宋简体"/>
          <w:color w:val="000000" w:themeColor="text1"/>
          <w:sz w:val="44"/>
          <w:szCs w:val="44"/>
          <w14:textFill>
            <w14:solidFill>
              <w14:schemeClr w14:val="tx1"/>
            </w14:solidFill>
          </w14:textFill>
        </w:rPr>
        <w:sectPr>
          <w:footerReference r:id="rId5" w:type="default"/>
          <w:footerReference r:id="rId6" w:type="even"/>
          <w:pgSz w:w="11906" w:h="16838"/>
          <w:pgMar w:top="2098" w:right="1474" w:bottom="1984" w:left="1587" w:header="851" w:footer="1417" w:gutter="0"/>
          <w:cols w:space="0" w:num="1"/>
          <w:docGrid w:type="lines" w:linePitch="312" w:charSpace="0"/>
        </w:sectPr>
      </w:pPr>
      <w:bookmarkStart w:id="0" w:name="_Toc19317"/>
    </w:p>
    <w:p w14:paraId="67454C47">
      <w:pPr>
        <w:pStyle w:val="5"/>
        <w:numPr>
          <w:ilvl w:val="255"/>
          <w:numId w:val="0"/>
        </w:numPr>
        <w:overflowPunct w:val="0"/>
        <w:topLinePunct/>
        <w:spacing w:before="312" w:after="0" w:afterLines="0"/>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第一篇 深入贯彻落实党中央决策部署和省委工作要求，奋力推动在中国式现代化道路上</w:t>
      </w:r>
      <w:bookmarkEnd w:id="0"/>
    </w:p>
    <w:p w14:paraId="7C9F9C45">
      <w:pPr>
        <w:overflowPunct w:val="0"/>
        <w:topLinePunct/>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聚力建设幸福安康取得决定性进展</w:t>
      </w:r>
    </w:p>
    <w:p w14:paraId="72220309">
      <w:pPr>
        <w:pStyle w:val="6"/>
        <w:overflowPunct w:val="0"/>
        <w:topLinePunct/>
        <w:spacing w:before="0" w:after="0"/>
        <w:rPr>
          <w:color w:val="000000" w:themeColor="text1"/>
          <w14:textFill>
            <w14:solidFill>
              <w14:schemeClr w14:val="tx1"/>
            </w14:solidFill>
          </w14:textFill>
        </w:rPr>
      </w:pPr>
      <w:bookmarkStart w:id="1" w:name="_Toc21462"/>
    </w:p>
    <w:p w14:paraId="019C5E1A">
      <w:pPr>
        <w:pStyle w:val="6"/>
        <w:overflowPunct w:val="0"/>
        <w:topLinePunct/>
        <w:spacing w:before="156" w:beforeLines="50" w:after="156" w:afterLines="50"/>
        <w:rPr>
          <w:color w:val="000000" w:themeColor="text1"/>
          <w14:textFill>
            <w14:solidFill>
              <w14:schemeClr w14:val="tx1"/>
            </w14:solidFill>
          </w14:textFill>
        </w:rPr>
      </w:pPr>
      <w:r>
        <w:rPr>
          <w:rFonts w:hint="eastAsia"/>
          <w:color w:val="000000" w:themeColor="text1"/>
          <w14:textFill>
            <w14:solidFill>
              <w14:schemeClr w14:val="tx1"/>
            </w14:solidFill>
          </w14:textFill>
        </w:rPr>
        <w:t>第一章 发展基础</w:t>
      </w:r>
      <w:bookmarkEnd w:id="1"/>
    </w:p>
    <w:p w14:paraId="3048F4D7">
      <w:pPr>
        <w:overflowPunct w:val="0"/>
        <w:topLinePunct/>
        <w:snapToGrid w:val="0"/>
        <w:spacing w:line="560" w:lineRule="exact"/>
        <w:ind w:firstLine="640"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color w:val="000000" w:themeColor="text1"/>
          <w:sz w:val="32"/>
          <w:szCs w:val="32"/>
          <w14:textFill>
            <w14:solidFill>
              <w14:schemeClr w14:val="tx1"/>
            </w14:solidFill>
          </w14:textFill>
        </w:rPr>
        <w:t>“十四五”时期是安康发展历程极不平凡、发展成就令人鼓舞的五年。面对错综复杂的宏观环境、前所未有的风险挑战，全市上下始终牢记习近平总书记殷殷嘱托，坚定自觉用习近平新时代中国特色社会主义思想统一思想、统一意志、统一行动，贯通落实“五个扎实”“五项要求”“四个着力”等重要要求，在中国式现代化道路上聚力建设共同富裕、生态宜居、崇德向上、平安祥和、风清气正幸福安康取得突破性进展，呈现出百姓富、生态美、风尚好、社会安、风气正的美丽画卷。规划主要目标基本实现，高质量发展迈出新的坚实步伐。</w:t>
      </w:r>
    </w:p>
    <w:p w14:paraId="21EEA21C">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bookmarkStart w:id="2" w:name="_Toc30553"/>
      <w:r>
        <w:rPr>
          <w:rFonts w:hint="eastAsia" w:ascii="楷体_GB2312" w:hAnsi="楷体_GB2312" w:eastAsia="楷体_GB2312" w:cs="楷体_GB2312"/>
          <w:b/>
          <w:bCs/>
          <w:color w:val="000000" w:themeColor="text1"/>
          <w:sz w:val="32"/>
          <w:szCs w:val="32"/>
          <w14:textFill>
            <w14:solidFill>
              <w14:schemeClr w14:val="tx1"/>
            </w14:solidFill>
          </w14:textFill>
        </w:rPr>
        <w:t>经济实力稳步提升。</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经济运行稳中有进，地区生产总值、规模以上工业增加值、社会消费品零售总额等主要指标增速位居全省前列。项目建设加速推进，累计实施市级重点项目1851个，完成投资3148亿元。科技创新动能增强，融入秦创原创新驱动平台有力有效，秦创原安康科创中心建成投用，科技型中小企业、高新技术企业分别达到1092家、483家。市场活力有效激发，非公经济增加值占GDP比重连续11年全省第一，市属国有企业资产总额同比增长19.09%，各类经营主体总量29.88万户，专精特新“小巨人”企业、省级制造业单项冠军实现破零。产业升级提质增效，生态旅游加速推进，旅游接待人数和综合收入增速超过预期，园区配套和承载能力不断增强，重点企业和优势产业加速向园区聚集，富硒食品产业纳入全省重点产业链，具有安康特色的现代化产业体系加速构建。</w:t>
      </w:r>
    </w:p>
    <w:p w14:paraId="280B09CB">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改革动能不断释放。</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全面推行同一行政备案事项同要素管理、同标准办理，创新“12345+审批+政务+交易”集成服务模式。深化商事制度改革、落实事中事后监管等相关政策措施获国务院通报表彰并予以督查激励。“标准化建设助力富硒食品产业链提质增效”入选全省质量变革创新十大典型案例。“营商环境最安康”品牌影响力持续提升，“三公示一台账+服务”管控房价涨幅机制入选优化营商环境优秀实践案例，营商环境满意度评价连续四年位列全省优秀等次。“项目管家”实现重点项目“帮办代办”全覆盖。科技成果转化“三项改革”提质扩面，9条重点产业链分别组建科技创新团队和科技创新平台，大批科技领军人才、青年科技人才深度参与重点产业链建设。484项改革创新获省部级以上表彰，615项改革经验在全国全省推广。</w:t>
      </w:r>
    </w:p>
    <w:p w14:paraId="683B4580">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开放能级持续提升。</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全力打造秦巴区域内陆开放高地，“三港四中心”等开放平台能级跃升，安康“无水港”“安康一号”海外仓、上港物流大数据中心、中欧班列西安集结中心安康分中心、西部陆海新通道安康集结分中心等重大工程持续推进，物流枢纽体系建设持续完善，安康与外界的联系更加紧密。立体综合交通网络基本成型，</w:t>
      </w:r>
      <w:r>
        <w:rPr>
          <w:rStyle w:val="77"/>
          <w:rFonts w:hint="eastAsia" w:ascii="仿宋_GB2312" w:hAnsi="仿宋_GB2312" w:eastAsia="仿宋_GB2312" w:cs="仿宋_GB2312"/>
          <w:color w:val="000000" w:themeColor="text1"/>
          <w:sz w:val="32"/>
          <w:szCs w:val="32"/>
          <w14:textFill>
            <w14:solidFill>
              <w14:schemeClr w14:val="tx1"/>
            </w14:solidFill>
          </w14:textFill>
        </w:rPr>
        <w:t>全市公路总里程</w:t>
      </w:r>
      <w:r>
        <w:rPr>
          <w:rFonts w:hint="eastAsia" w:ascii="仿宋_GB2312" w:hAnsi="仿宋_GB2312" w:eastAsia="仿宋_GB2312" w:cs="仿宋_GB2312"/>
          <w:color w:val="000000" w:themeColor="text1"/>
          <w:sz w:val="32"/>
          <w:szCs w:val="32"/>
          <w14:textFill>
            <w14:solidFill>
              <w14:schemeClr w14:val="tx1"/>
            </w14:solidFill>
          </w14:textFill>
        </w:rPr>
        <w:t>2.68万公里</w:t>
      </w:r>
      <w:r>
        <w:rPr>
          <w:rStyle w:val="77"/>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较“十三五”同比增长5.63%，人均路网密度稳居全省第一。</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安康富强机场开通9条航线、通达12个城市，白河至丹江口汉江航道复航，西康高铁即将建成、康渝高铁加快建设，</w:t>
      </w:r>
      <w:r>
        <w:rPr>
          <w:rFonts w:hint="eastAsia" w:ascii="仿宋_GB2312" w:hAnsi="方正仿宋_GB2312" w:eastAsia="仿宋_GB2312" w:cs="方正仿宋_GB2312"/>
          <w:color w:val="000000" w:themeColor="text1"/>
          <w:sz w:val="32"/>
          <w:szCs w:val="32"/>
          <w14:textFill>
            <w14:solidFill>
              <w14:schemeClr w14:val="tx1"/>
            </w14:solidFill>
          </w14:textFill>
        </w:rPr>
        <w:t>“公铁水空”多式联运体系加速构建。</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合作招商成果丰硕，累计争取苏陕、津陕协作资金44.57亿元，实施协作项目238个，共建产业园区10个；坚持叩门招商、以商招商、园区招商，五年累计招引项目2817个。外贸经济翻倍增长，进出口总额年均增长20.3%，彰显了开放发展的强劲活力。</w:t>
      </w:r>
    </w:p>
    <w:p w14:paraId="5D91AA93">
      <w:pPr>
        <w:overflowPunct w:val="0"/>
        <w:topLinePunct/>
        <w:adjustRightInd w:val="0"/>
        <w:snapToGrid w:val="0"/>
        <w:spacing w:line="560" w:lineRule="exact"/>
        <w:ind w:firstLine="643" w:firstLineChars="200"/>
        <w:rPr>
          <w:rFonts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城乡融合步伐加快。</w:t>
      </w:r>
      <w:r>
        <w:rPr>
          <w:rFonts w:hint="eastAsia" w:ascii="仿宋_GB2312" w:hAnsi="仿宋_GB2312" w:eastAsia="仿宋_GB2312" w:cs="仿宋_GB2312"/>
          <w:color w:val="000000" w:themeColor="text1"/>
          <w:sz w:val="32"/>
          <w:szCs w:val="32"/>
          <w14:textFill>
            <w14:solidFill>
              <w14:schemeClr w14:val="tx1"/>
            </w14:solidFill>
          </w14:textFill>
        </w:rPr>
        <w:t>扎实推进国土空间规划引领、新型城镇化建设、中心城区精细化管理、城市建设存量问题化解、城乡融合发展“五大专项行动”，着力构建“一核两心两带多点”城镇空间发展格局。深入实施“湖城一体、疏解老城、重心北移、有序东扩”战略，统筹推进江南老城与江北城区、高新区与城东新区协调联动，促进恒口示范区、瀛湖生态旅游区与中心城区一体化发展。</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因地制宜推动县域差异化发展，</w:t>
      </w:r>
      <w:r>
        <w:rPr>
          <w:rFonts w:hint="eastAsia" w:ascii="仿宋_GB2312" w:hAnsi="仿宋_GB2312" w:eastAsia="仿宋_GB2312" w:cs="仿宋_GB2312"/>
          <w:color w:val="000000" w:themeColor="text1"/>
          <w:sz w:val="32"/>
          <w:szCs w:val="32"/>
          <w14:textFill>
            <w14:solidFill>
              <w14:schemeClr w14:val="tx1"/>
            </w14:solidFill>
          </w14:textFill>
        </w:rPr>
        <w:t>白河被列为推进以县城为重要载体的城镇化建设省级试点县，旬阳实现撤县设市，成为陕南首个县级市。把小城镇建设作为推进新型城镇化的重要补充，成功创建13个省级乡村振兴示范镇。全市常住人口城镇化率达到56.23%，较2020年提高6.31个百分点，累计新增城镇就业10.5万人、劳动力转移就业319万人，城乡居民收入稳步增长，差距比缩小至2.27:1。</w:t>
      </w:r>
    </w:p>
    <w:p w14:paraId="7258C629">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乡村振兴扎实推进。</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持续强化动态监测帮扶，优化监测预警平台，推动“两不愁三保障”和饮水安全问题常态监测、动态清零，牢牢守住不发生规模性返贫底线，巩固衔接工作连续四年省考优秀。夯实粮食安全责任制，大力实施藏粮于地、藏粮于技战略，粮食及重要农产品稳产保供。深入实施“富硒+有机”战略，全力推动富硒农业全链条升级，“6+X”农业产业体系持续壮大。聚力打造“秦巴优品·硒有安康”农业全品类区域公用品牌，成功创建国家农产品质量安全市和全国名特优新高品质（富硒）农产品全程质量控制试点市，“安康富硒茶”入选首批中国消费名品名单，区域公用品牌价值跻身全国第19位。农村集体产权制度改革深入推进，新型农村集体经济不断发展壮大。大力开展孝义善举培育工程，深入推进农村移风易俗专项整治。创新实施易地搬迁后续扶持“六大乐业工程”和“六小安居措施”，发布全国首个《新社区工厂地方标准》、全省首个《易地扶贫搬迁社区管理服务规范》。建设国家农业现代化示范区1个、乡村振兴国家示范县2个、省级示范镇13个，命名“千万工程”省级示范村99个、美丽宜居示范村103个。</w:t>
      </w:r>
    </w:p>
    <w:p w14:paraId="6673DEF8">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美丽安康展现新貌</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深入开展大气污染治理专项行动，持续深化“减煤、控车、抑尘、治源、禁燃、增绿”工作措施，空气质量始终保持全省前列，连续六年进入国家空气质量达标城市行列。坚持水资源保障、水环境治理、水生态修复“三水统筹”，持续打好碧水保卫战，深入推进“河湖长制”，筑牢南水北调中线工程水源区生态安全屏障，汉江出陕断面水质稳定保持地表水Ⅱ类标准，成功申报全国美丽河湖保护与建设项目，瀛湖入选国家“美丽河湖”优秀案例，</w:t>
      </w:r>
      <w:r>
        <w:rPr>
          <w:rFonts w:hint="eastAsia" w:ascii="仿宋_GB2312" w:eastAsia="仿宋_GB2312" w:cs="仿宋_GB2312"/>
          <w:color w:val="000000" w:themeColor="text1"/>
          <w:sz w:val="32"/>
          <w:szCs w:val="32"/>
          <w14:textFill>
            <w14:solidFill>
              <w14:schemeClr w14:val="tx1"/>
            </w14:solidFill>
          </w14:textFill>
        </w:rPr>
        <w:t>汉阴观音河等6条河湖成功创建省级“幸福河湖”</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持续强化土壤污染源头防控，扎实推进地下水污染防治，重点建设用地安全利用率100%。创建省级森林城市9个，森林覆盖率达到70%以上。汉阴凤堰梯田入选世界灌溉工程遗产名录。平利等5个县获评国家生态文明建设示范区，岚皋等4个县获评“绿水青山就是金山银山”实践创新基地。安康市、石泉县分别入选全国首批美丽城市、美丽乡村先行区。</w:t>
      </w:r>
    </w:p>
    <w:p w14:paraId="7B03BC02">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民生福祉更加普惠。</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全国文明城市创建扎实推进，社会主义核心价值观深入人心，公众文明素养和社会文明程度不断提升。城乡教育、医疗卫生、公共文化“三个紧密型共同体”建设入选国家全面深化改革典型案例。教育攻坚成效显著，新增学位4.2万个，教育公众满意度连续两年全省第一。医疗服务能力增强，入选国家中医药传承创新发展试验区，在全省率先落地DRG医保支付方式改革。</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社会救助提标扩面，保障水平显著提升。城乡文化服务供给优质多元，优秀传统文化传承创新有力，</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国家公共文化服务体系示范区创新发展获评优秀</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打造嵌入式新型公共文化空间500余处，汉江</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龙舟节等活动影响力持续扩大，“村BA”“村超”“村光大道”“开麦吧</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茶乡”等群众性文体旅活动精彩纷呈。</w:t>
      </w:r>
      <w:r>
        <w:rPr>
          <w:rFonts w:hint="eastAsia" w:ascii="仿宋_GB2312" w:hAnsi="宋体" w:eastAsia="仿宋_GB2312" w:cs="Times New Roman"/>
          <w:color w:val="000000" w:themeColor="text1"/>
          <w:sz w:val="32"/>
          <w:szCs w:val="32"/>
          <w14:textFill>
            <w14:solidFill>
              <w14:schemeClr w14:val="tx1"/>
            </w14:solidFill>
          </w14:textFill>
        </w:rPr>
        <w:t>全民健身工作评估连续三年全省第一。</w:t>
      </w:r>
    </w:p>
    <w:p w14:paraId="29B83D82">
      <w:pPr>
        <w:overflowPunct w:val="0"/>
        <w:topLinePunct/>
        <w:adjustRightInd w:val="0"/>
        <w:snapToGrid w:val="0"/>
        <w:spacing w:line="560" w:lineRule="exact"/>
        <w:ind w:firstLine="643" w:firstLineChars="200"/>
        <w:rPr>
          <w:rFonts w:ascii="仿宋_GB2312" w:hAnsi="楷体_GB2312" w:eastAsia="仿宋_GB2312" w:cs="楷体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平安建设成效显著。</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深入践行总体国家安全观，创新维护社会稳定工作机制，探索构建“四区一体”维稳工作新格局。坚持和发展新时代“枫桥经验”，以市县镇三级综治中心规范化建设为平台，推动治理资源整合下沉，实现矛盾纠纷“一站式接收、一揽子调处、全链条解决”，“书记民情三本账”“‘321’基层治理模式”“无忧调解超市”等创新实践深化拓展。常态化开展扫黑除恶斗争，无重大刑事治安案件发生。安全生产“三化三制”</w:t>
      </w:r>
      <w:r>
        <w:rPr>
          <w:rFonts w:hint="eastAsia" w:ascii="仿宋_GB2312" w:hAnsi="楷体_GB2312" w:eastAsia="仿宋_GB2312" w:cs="楷体_GB2312"/>
          <w:color w:val="000000" w:themeColor="text1"/>
          <w:sz w:val="32"/>
          <w:szCs w:val="32"/>
          <w14:textFill>
            <w14:solidFill>
              <w14:schemeClr w14:val="tx1"/>
            </w14:solidFill>
          </w14:textFill>
        </w:rPr>
        <w:t>成效凸显</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w:t>
      </w:r>
      <w:r>
        <w:rPr>
          <w:rFonts w:hint="eastAsia" w:ascii="仿宋_GB2312" w:hAnsi="楷体_GB2312" w:eastAsia="仿宋_GB2312" w:cs="楷体_GB2312"/>
          <w:color w:val="000000" w:themeColor="text1"/>
          <w:sz w:val="32"/>
          <w:szCs w:val="32"/>
          <w14:textFill>
            <w14:solidFill>
              <w14:schemeClr w14:val="tx1"/>
            </w14:solidFill>
          </w14:textFill>
        </w:rPr>
        <w:t>防灾减灾救灾体系和应急救援能力全面增强。创新推行“12332”包保督导工作模式，食品安全责任分层分级深化落实，全市未发生重大安全生产及食品安全事故。平安建设满意度连续五年位居全省第一，获授全省首批“平安金鼎”，10个县（市、区）实现省级“平安鼎”全覆盖，</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成功创建全国市域社会治理现代化试点合格城市</w:t>
      </w:r>
      <w:r>
        <w:rPr>
          <w:rFonts w:hint="eastAsia" w:ascii="仿宋_GB2312" w:hAnsi="楷体_GB2312" w:eastAsia="仿宋_GB2312" w:cs="楷体_GB2312"/>
          <w:color w:val="000000" w:themeColor="text1"/>
          <w:sz w:val="32"/>
          <w:szCs w:val="32"/>
          <w14:textFill>
            <w14:solidFill>
              <w14:schemeClr w14:val="tx1"/>
            </w14:solidFill>
          </w14:textFill>
        </w:rPr>
        <w:t>。</w:t>
      </w:r>
    </w:p>
    <w:p w14:paraId="10A1EF8A">
      <w:pPr>
        <w:overflowPunct w:val="0"/>
        <w:topLinePunct/>
        <w:adjustRightInd w:val="0"/>
        <w:snapToGrid w:val="0"/>
        <w:spacing w:before="156" w:beforeLines="50" w:after="156" w:afterLines="50" w:line="560" w:lineRule="exact"/>
        <w:jc w:val="center"/>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表1-1 安康市“十四五”经济社会发展指标</w:t>
      </w:r>
    </w:p>
    <w:tbl>
      <w:tblPr>
        <w:tblStyle w:val="33"/>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636"/>
        <w:gridCol w:w="3096"/>
        <w:gridCol w:w="709"/>
        <w:gridCol w:w="1134"/>
        <w:gridCol w:w="1275"/>
        <w:gridCol w:w="1276"/>
      </w:tblGrid>
      <w:tr w14:paraId="2FB7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blHeader/>
          <w:jc w:val="center"/>
        </w:trPr>
        <w:tc>
          <w:tcPr>
            <w:tcW w:w="736" w:type="dxa"/>
            <w:tcBorders>
              <w:top w:val="single" w:color="auto" w:sz="4" w:space="0"/>
              <w:left w:val="single" w:color="auto" w:sz="4" w:space="0"/>
              <w:bottom w:val="single" w:color="auto" w:sz="4" w:space="0"/>
              <w:right w:val="single" w:color="auto" w:sz="4" w:space="0"/>
            </w:tcBorders>
            <w:noWrap/>
            <w:vAlign w:val="center"/>
          </w:tcPr>
          <w:p w14:paraId="6D0BAF28">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分类</w:t>
            </w:r>
          </w:p>
        </w:tc>
        <w:tc>
          <w:tcPr>
            <w:tcW w:w="636" w:type="dxa"/>
            <w:tcBorders>
              <w:top w:val="single" w:color="auto" w:sz="4" w:space="0"/>
              <w:left w:val="single" w:color="auto" w:sz="4" w:space="0"/>
              <w:bottom w:val="single" w:color="auto" w:sz="4" w:space="0"/>
              <w:right w:val="single" w:color="auto" w:sz="4" w:space="0"/>
            </w:tcBorders>
            <w:noWrap/>
            <w:vAlign w:val="center"/>
          </w:tcPr>
          <w:p w14:paraId="17B80588">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序号</w:t>
            </w:r>
          </w:p>
        </w:tc>
        <w:tc>
          <w:tcPr>
            <w:tcW w:w="3096" w:type="dxa"/>
            <w:tcBorders>
              <w:top w:val="single" w:color="auto" w:sz="4" w:space="0"/>
              <w:left w:val="single" w:color="auto" w:sz="4" w:space="0"/>
              <w:bottom w:val="single" w:color="auto" w:sz="4" w:space="0"/>
              <w:right w:val="single" w:color="auto" w:sz="4" w:space="0"/>
            </w:tcBorders>
            <w:noWrap/>
            <w:vAlign w:val="center"/>
          </w:tcPr>
          <w:p w14:paraId="52A22376">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指标体系</w:t>
            </w:r>
          </w:p>
        </w:tc>
        <w:tc>
          <w:tcPr>
            <w:tcW w:w="709" w:type="dxa"/>
            <w:tcBorders>
              <w:top w:val="single" w:color="auto" w:sz="4" w:space="0"/>
              <w:left w:val="single" w:color="auto" w:sz="4" w:space="0"/>
              <w:bottom w:val="single" w:color="auto" w:sz="4" w:space="0"/>
              <w:right w:val="single" w:color="auto" w:sz="4" w:space="0"/>
            </w:tcBorders>
            <w:noWrap/>
            <w:vAlign w:val="center"/>
          </w:tcPr>
          <w:p w14:paraId="7967236B">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单位</w:t>
            </w:r>
          </w:p>
        </w:tc>
        <w:tc>
          <w:tcPr>
            <w:tcW w:w="1134" w:type="dxa"/>
            <w:tcBorders>
              <w:top w:val="single" w:color="auto" w:sz="4" w:space="0"/>
              <w:left w:val="single" w:color="auto" w:sz="4" w:space="0"/>
              <w:bottom w:val="single" w:color="auto" w:sz="4" w:space="0"/>
              <w:right w:val="single" w:color="auto" w:sz="4" w:space="0"/>
            </w:tcBorders>
            <w:noWrap/>
            <w:vAlign w:val="center"/>
          </w:tcPr>
          <w:p w14:paraId="432263C8">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2020年</w:t>
            </w:r>
          </w:p>
          <w:p w14:paraId="651463D8">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实际</w:t>
            </w:r>
          </w:p>
        </w:tc>
        <w:tc>
          <w:tcPr>
            <w:tcW w:w="1275" w:type="dxa"/>
            <w:tcBorders>
              <w:top w:val="single" w:color="auto" w:sz="4" w:space="0"/>
              <w:left w:val="single" w:color="auto" w:sz="4" w:space="0"/>
              <w:bottom w:val="single" w:color="auto" w:sz="4" w:space="0"/>
              <w:right w:val="single" w:color="auto" w:sz="4" w:space="0"/>
            </w:tcBorders>
            <w:noWrap/>
            <w:vAlign w:val="center"/>
          </w:tcPr>
          <w:p w14:paraId="0BD952C4">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2025年</w:t>
            </w:r>
          </w:p>
          <w:p w14:paraId="69A51D07">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规划目标</w:t>
            </w:r>
          </w:p>
        </w:tc>
        <w:tc>
          <w:tcPr>
            <w:tcW w:w="1276" w:type="dxa"/>
            <w:tcBorders>
              <w:top w:val="single" w:color="auto" w:sz="4" w:space="0"/>
              <w:left w:val="single" w:color="auto" w:sz="4" w:space="0"/>
              <w:bottom w:val="single" w:color="auto" w:sz="4" w:space="0"/>
              <w:right w:val="single" w:color="auto" w:sz="4" w:space="0"/>
            </w:tcBorders>
            <w:noWrap/>
            <w:vAlign w:val="center"/>
          </w:tcPr>
          <w:p w14:paraId="47C7DDDA">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2025年     实际完成</w:t>
            </w:r>
          </w:p>
        </w:tc>
      </w:tr>
      <w:tr w14:paraId="5461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736" w:type="dxa"/>
            <w:vMerge w:val="restart"/>
            <w:tcBorders>
              <w:top w:val="nil"/>
              <w:left w:val="single" w:color="auto" w:sz="4" w:space="0"/>
              <w:bottom w:val="single" w:color="auto" w:sz="4" w:space="0"/>
              <w:right w:val="single" w:color="auto" w:sz="4" w:space="0"/>
            </w:tcBorders>
            <w:noWrap/>
            <w:vAlign w:val="center"/>
          </w:tcPr>
          <w:p w14:paraId="602CFFC1">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经济</w:t>
            </w:r>
          </w:p>
          <w:p w14:paraId="780B010A">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发展</w:t>
            </w:r>
          </w:p>
        </w:tc>
        <w:tc>
          <w:tcPr>
            <w:tcW w:w="636" w:type="dxa"/>
            <w:tcBorders>
              <w:top w:val="single" w:color="auto" w:sz="4" w:space="0"/>
              <w:left w:val="single" w:color="auto" w:sz="4" w:space="0"/>
              <w:bottom w:val="single" w:color="auto" w:sz="4" w:space="0"/>
              <w:right w:val="single" w:color="auto" w:sz="4" w:space="0"/>
            </w:tcBorders>
            <w:noWrap/>
            <w:vAlign w:val="center"/>
          </w:tcPr>
          <w:p w14:paraId="6E8AC511">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w:t>
            </w:r>
          </w:p>
        </w:tc>
        <w:tc>
          <w:tcPr>
            <w:tcW w:w="3096" w:type="dxa"/>
            <w:tcBorders>
              <w:top w:val="single" w:color="auto" w:sz="4" w:space="0"/>
              <w:left w:val="single" w:color="auto" w:sz="4" w:space="0"/>
              <w:bottom w:val="single" w:color="auto" w:sz="4" w:space="0"/>
              <w:right w:val="single" w:color="auto" w:sz="4" w:space="0"/>
            </w:tcBorders>
            <w:noWrap/>
            <w:vAlign w:val="center"/>
          </w:tcPr>
          <w:p w14:paraId="17E6950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地区生产总值增速</w:t>
            </w:r>
          </w:p>
        </w:tc>
        <w:tc>
          <w:tcPr>
            <w:tcW w:w="709" w:type="dxa"/>
            <w:tcBorders>
              <w:top w:val="single" w:color="auto" w:sz="4" w:space="0"/>
              <w:left w:val="single" w:color="auto" w:sz="4" w:space="0"/>
              <w:bottom w:val="single" w:color="auto" w:sz="4" w:space="0"/>
              <w:right w:val="single" w:color="auto" w:sz="4" w:space="0"/>
            </w:tcBorders>
            <w:noWrap/>
            <w:vAlign w:val="center"/>
          </w:tcPr>
          <w:p w14:paraId="67C69DD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00157A1F">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-9.2</w:t>
            </w:r>
          </w:p>
        </w:tc>
        <w:tc>
          <w:tcPr>
            <w:tcW w:w="1275" w:type="dxa"/>
            <w:tcBorders>
              <w:top w:val="single" w:color="auto" w:sz="4" w:space="0"/>
              <w:left w:val="single" w:color="auto" w:sz="4" w:space="0"/>
              <w:bottom w:val="single" w:color="auto" w:sz="4" w:space="0"/>
              <w:right w:val="single" w:color="auto" w:sz="4" w:space="0"/>
            </w:tcBorders>
            <w:noWrap/>
            <w:vAlign w:val="center"/>
          </w:tcPr>
          <w:p w14:paraId="2F2C1113">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6.5</w:t>
            </w:r>
          </w:p>
        </w:tc>
        <w:tc>
          <w:tcPr>
            <w:tcW w:w="1276" w:type="dxa"/>
            <w:tcBorders>
              <w:top w:val="single" w:color="auto" w:sz="4" w:space="0"/>
              <w:left w:val="single" w:color="auto" w:sz="4" w:space="0"/>
              <w:bottom w:val="single" w:color="auto" w:sz="4" w:space="0"/>
              <w:right w:val="single" w:color="auto" w:sz="4" w:space="0"/>
            </w:tcBorders>
            <w:noWrap/>
            <w:vAlign w:val="center"/>
          </w:tcPr>
          <w:p w14:paraId="6DAE93E1">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5.6</w:t>
            </w:r>
          </w:p>
        </w:tc>
      </w:tr>
      <w:tr w14:paraId="626D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7DA21C5E">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1807EE2F">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w:t>
            </w:r>
          </w:p>
        </w:tc>
        <w:tc>
          <w:tcPr>
            <w:tcW w:w="3096" w:type="dxa"/>
            <w:tcBorders>
              <w:top w:val="single" w:color="auto" w:sz="4" w:space="0"/>
              <w:left w:val="single" w:color="auto" w:sz="4" w:space="0"/>
              <w:bottom w:val="single" w:color="auto" w:sz="4" w:space="0"/>
              <w:right w:val="single" w:color="auto" w:sz="4" w:space="0"/>
            </w:tcBorders>
            <w:noWrap/>
            <w:vAlign w:val="center"/>
          </w:tcPr>
          <w:p w14:paraId="47894D5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固定资产投资增速</w:t>
            </w:r>
          </w:p>
        </w:tc>
        <w:tc>
          <w:tcPr>
            <w:tcW w:w="709" w:type="dxa"/>
            <w:tcBorders>
              <w:top w:val="single" w:color="auto" w:sz="4" w:space="0"/>
              <w:left w:val="single" w:color="auto" w:sz="4" w:space="0"/>
              <w:bottom w:val="single" w:color="auto" w:sz="4" w:space="0"/>
              <w:right w:val="single" w:color="auto" w:sz="4" w:space="0"/>
            </w:tcBorders>
            <w:noWrap/>
            <w:vAlign w:val="center"/>
          </w:tcPr>
          <w:p w14:paraId="3BDD636F">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3E8243A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-2.9</w:t>
            </w:r>
          </w:p>
        </w:tc>
        <w:tc>
          <w:tcPr>
            <w:tcW w:w="1275" w:type="dxa"/>
            <w:tcBorders>
              <w:top w:val="single" w:color="auto" w:sz="4" w:space="0"/>
              <w:left w:val="single" w:color="auto" w:sz="4" w:space="0"/>
              <w:bottom w:val="single" w:color="auto" w:sz="4" w:space="0"/>
              <w:right w:val="single" w:color="auto" w:sz="4" w:space="0"/>
            </w:tcBorders>
            <w:noWrap/>
            <w:vAlign w:val="center"/>
          </w:tcPr>
          <w:p w14:paraId="13CB28EB">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6.5</w:t>
            </w:r>
          </w:p>
        </w:tc>
        <w:tc>
          <w:tcPr>
            <w:tcW w:w="1276" w:type="dxa"/>
            <w:tcBorders>
              <w:top w:val="single" w:color="auto" w:sz="4" w:space="0"/>
              <w:left w:val="single" w:color="auto" w:sz="4" w:space="0"/>
              <w:bottom w:val="single" w:color="auto" w:sz="4" w:space="0"/>
              <w:right w:val="single" w:color="auto" w:sz="4" w:space="0"/>
            </w:tcBorders>
            <w:noWrap/>
            <w:vAlign w:val="center"/>
          </w:tcPr>
          <w:p w14:paraId="18275F04">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8.5</w:t>
            </w:r>
          </w:p>
        </w:tc>
      </w:tr>
      <w:tr w14:paraId="0834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29C410C8">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1DA20CB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3</w:t>
            </w:r>
          </w:p>
        </w:tc>
        <w:tc>
          <w:tcPr>
            <w:tcW w:w="3096" w:type="dxa"/>
            <w:tcBorders>
              <w:top w:val="single" w:color="auto" w:sz="4" w:space="0"/>
              <w:left w:val="single" w:color="auto" w:sz="4" w:space="0"/>
              <w:bottom w:val="single" w:color="auto" w:sz="4" w:space="0"/>
              <w:right w:val="single" w:color="auto" w:sz="4" w:space="0"/>
            </w:tcBorders>
            <w:noWrap/>
            <w:vAlign w:val="center"/>
          </w:tcPr>
          <w:p w14:paraId="4120E36C">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规模以上工业增加值增速</w:t>
            </w:r>
          </w:p>
        </w:tc>
        <w:tc>
          <w:tcPr>
            <w:tcW w:w="709" w:type="dxa"/>
            <w:tcBorders>
              <w:top w:val="single" w:color="auto" w:sz="4" w:space="0"/>
              <w:left w:val="single" w:color="auto" w:sz="4" w:space="0"/>
              <w:bottom w:val="single" w:color="auto" w:sz="4" w:space="0"/>
              <w:right w:val="single" w:color="auto" w:sz="4" w:space="0"/>
            </w:tcBorders>
            <w:noWrap/>
            <w:vAlign w:val="center"/>
          </w:tcPr>
          <w:p w14:paraId="4DF1326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5637DA6C">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-22.9</w:t>
            </w:r>
          </w:p>
        </w:tc>
        <w:tc>
          <w:tcPr>
            <w:tcW w:w="1275" w:type="dxa"/>
            <w:tcBorders>
              <w:top w:val="single" w:color="auto" w:sz="4" w:space="0"/>
              <w:left w:val="single" w:color="auto" w:sz="4" w:space="0"/>
              <w:bottom w:val="single" w:color="auto" w:sz="4" w:space="0"/>
              <w:right w:val="single" w:color="auto" w:sz="4" w:space="0"/>
            </w:tcBorders>
            <w:noWrap/>
            <w:vAlign w:val="center"/>
          </w:tcPr>
          <w:p w14:paraId="63C20F66">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7</w:t>
            </w:r>
          </w:p>
        </w:tc>
        <w:tc>
          <w:tcPr>
            <w:tcW w:w="1276" w:type="dxa"/>
            <w:tcBorders>
              <w:top w:val="single" w:color="auto" w:sz="4" w:space="0"/>
              <w:left w:val="single" w:color="auto" w:sz="4" w:space="0"/>
              <w:bottom w:val="single" w:color="auto" w:sz="4" w:space="0"/>
              <w:right w:val="single" w:color="auto" w:sz="4" w:space="0"/>
            </w:tcBorders>
            <w:noWrap/>
            <w:vAlign w:val="center"/>
          </w:tcPr>
          <w:p w14:paraId="0D366F6E">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8</w:t>
            </w:r>
          </w:p>
        </w:tc>
      </w:tr>
      <w:tr w14:paraId="0CC6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39C3D69C">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22834C38">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4</w:t>
            </w:r>
          </w:p>
        </w:tc>
        <w:tc>
          <w:tcPr>
            <w:tcW w:w="3096" w:type="dxa"/>
            <w:tcBorders>
              <w:top w:val="single" w:color="auto" w:sz="4" w:space="0"/>
              <w:left w:val="single" w:color="auto" w:sz="4" w:space="0"/>
              <w:bottom w:val="single" w:color="auto" w:sz="4" w:space="0"/>
              <w:right w:val="single" w:color="auto" w:sz="4" w:space="0"/>
            </w:tcBorders>
            <w:noWrap/>
            <w:vAlign w:val="center"/>
          </w:tcPr>
          <w:p w14:paraId="5E7D9AD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社会消费品零售总额增速</w:t>
            </w:r>
          </w:p>
        </w:tc>
        <w:tc>
          <w:tcPr>
            <w:tcW w:w="709" w:type="dxa"/>
            <w:tcBorders>
              <w:top w:val="single" w:color="auto" w:sz="4" w:space="0"/>
              <w:left w:val="single" w:color="auto" w:sz="4" w:space="0"/>
              <w:bottom w:val="single" w:color="auto" w:sz="4" w:space="0"/>
              <w:right w:val="single" w:color="auto" w:sz="4" w:space="0"/>
            </w:tcBorders>
            <w:noWrap/>
            <w:vAlign w:val="center"/>
          </w:tcPr>
          <w:p w14:paraId="73F6B748">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2E9EC269">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-6.3</w:t>
            </w:r>
          </w:p>
        </w:tc>
        <w:tc>
          <w:tcPr>
            <w:tcW w:w="1275" w:type="dxa"/>
            <w:tcBorders>
              <w:top w:val="single" w:color="auto" w:sz="4" w:space="0"/>
              <w:left w:val="single" w:color="auto" w:sz="4" w:space="0"/>
              <w:bottom w:val="single" w:color="auto" w:sz="4" w:space="0"/>
              <w:right w:val="single" w:color="auto" w:sz="4" w:space="0"/>
            </w:tcBorders>
            <w:noWrap/>
            <w:vAlign w:val="center"/>
          </w:tcPr>
          <w:p w14:paraId="0E77EA0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8</w:t>
            </w:r>
          </w:p>
        </w:tc>
        <w:tc>
          <w:tcPr>
            <w:tcW w:w="1276" w:type="dxa"/>
            <w:tcBorders>
              <w:top w:val="single" w:color="auto" w:sz="4" w:space="0"/>
              <w:left w:val="single" w:color="auto" w:sz="4" w:space="0"/>
              <w:bottom w:val="single" w:color="auto" w:sz="4" w:space="0"/>
              <w:right w:val="single" w:color="auto" w:sz="4" w:space="0"/>
            </w:tcBorders>
            <w:noWrap/>
            <w:vAlign w:val="center"/>
          </w:tcPr>
          <w:p w14:paraId="40903CF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8.5</w:t>
            </w:r>
          </w:p>
        </w:tc>
      </w:tr>
      <w:tr w14:paraId="7BC8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736" w:type="dxa"/>
            <w:vMerge w:val="restart"/>
            <w:tcBorders>
              <w:top w:val="nil"/>
              <w:left w:val="single" w:color="auto" w:sz="4" w:space="0"/>
              <w:bottom w:val="single" w:color="auto" w:sz="4" w:space="0"/>
              <w:right w:val="single" w:color="auto" w:sz="4" w:space="0"/>
            </w:tcBorders>
            <w:noWrap/>
            <w:vAlign w:val="center"/>
          </w:tcPr>
          <w:p w14:paraId="78A40E0D">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创新</w:t>
            </w:r>
          </w:p>
          <w:p w14:paraId="555F3BE1">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驱动</w:t>
            </w:r>
          </w:p>
        </w:tc>
        <w:tc>
          <w:tcPr>
            <w:tcW w:w="636" w:type="dxa"/>
            <w:tcBorders>
              <w:top w:val="single" w:color="auto" w:sz="4" w:space="0"/>
              <w:left w:val="single" w:color="auto" w:sz="4" w:space="0"/>
              <w:bottom w:val="single" w:color="auto" w:sz="4" w:space="0"/>
              <w:right w:val="single" w:color="auto" w:sz="4" w:space="0"/>
            </w:tcBorders>
            <w:noWrap/>
            <w:vAlign w:val="center"/>
          </w:tcPr>
          <w:p w14:paraId="083E826C">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5</w:t>
            </w:r>
          </w:p>
        </w:tc>
        <w:tc>
          <w:tcPr>
            <w:tcW w:w="3096" w:type="dxa"/>
            <w:tcBorders>
              <w:top w:val="single" w:color="auto" w:sz="4" w:space="0"/>
              <w:left w:val="single" w:color="auto" w:sz="4" w:space="0"/>
              <w:bottom w:val="single" w:color="auto" w:sz="4" w:space="0"/>
              <w:right w:val="single" w:color="auto" w:sz="4" w:space="0"/>
            </w:tcBorders>
            <w:noWrap/>
            <w:vAlign w:val="center"/>
          </w:tcPr>
          <w:p w14:paraId="2D8098A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研发经费投入占GDP比重</w:t>
            </w:r>
          </w:p>
        </w:tc>
        <w:tc>
          <w:tcPr>
            <w:tcW w:w="709" w:type="dxa"/>
            <w:tcBorders>
              <w:top w:val="single" w:color="auto" w:sz="4" w:space="0"/>
              <w:left w:val="single" w:color="auto" w:sz="4" w:space="0"/>
              <w:bottom w:val="single" w:color="auto" w:sz="4" w:space="0"/>
              <w:right w:val="single" w:color="auto" w:sz="4" w:space="0"/>
            </w:tcBorders>
            <w:noWrap/>
            <w:vAlign w:val="center"/>
          </w:tcPr>
          <w:p w14:paraId="7F8FF392">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00DBFE63">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0.52</w:t>
            </w:r>
          </w:p>
        </w:tc>
        <w:tc>
          <w:tcPr>
            <w:tcW w:w="1275" w:type="dxa"/>
            <w:tcBorders>
              <w:top w:val="single" w:color="auto" w:sz="4" w:space="0"/>
              <w:left w:val="single" w:color="auto" w:sz="4" w:space="0"/>
              <w:bottom w:val="single" w:color="auto" w:sz="4" w:space="0"/>
              <w:right w:val="single" w:color="auto" w:sz="4" w:space="0"/>
            </w:tcBorders>
            <w:noWrap/>
            <w:vAlign w:val="center"/>
          </w:tcPr>
          <w:p w14:paraId="3D8853D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0.8</w:t>
            </w:r>
          </w:p>
        </w:tc>
        <w:tc>
          <w:tcPr>
            <w:tcW w:w="1276" w:type="dxa"/>
            <w:tcBorders>
              <w:top w:val="single" w:color="auto" w:sz="4" w:space="0"/>
              <w:left w:val="single" w:color="auto" w:sz="4" w:space="0"/>
              <w:bottom w:val="single" w:color="auto" w:sz="4" w:space="0"/>
              <w:right w:val="single" w:color="auto" w:sz="4" w:space="0"/>
            </w:tcBorders>
            <w:noWrap/>
            <w:vAlign w:val="center"/>
          </w:tcPr>
          <w:p w14:paraId="77ACA2E4">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0.53</w:t>
            </w:r>
          </w:p>
        </w:tc>
      </w:tr>
      <w:tr w14:paraId="7412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486CD96A">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2117648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6</w:t>
            </w:r>
          </w:p>
        </w:tc>
        <w:tc>
          <w:tcPr>
            <w:tcW w:w="3096" w:type="dxa"/>
            <w:tcBorders>
              <w:top w:val="single" w:color="auto" w:sz="4" w:space="0"/>
              <w:left w:val="single" w:color="auto" w:sz="4" w:space="0"/>
              <w:bottom w:val="single" w:color="auto" w:sz="4" w:space="0"/>
              <w:right w:val="single" w:color="auto" w:sz="4" w:space="0"/>
            </w:tcBorders>
            <w:noWrap/>
            <w:vAlign w:val="center"/>
          </w:tcPr>
          <w:p w14:paraId="3E4D60F5">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万人发明专利拥有量</w:t>
            </w:r>
          </w:p>
        </w:tc>
        <w:tc>
          <w:tcPr>
            <w:tcW w:w="709" w:type="dxa"/>
            <w:tcBorders>
              <w:top w:val="single" w:color="auto" w:sz="4" w:space="0"/>
              <w:left w:val="single" w:color="auto" w:sz="4" w:space="0"/>
              <w:bottom w:val="single" w:color="auto" w:sz="4" w:space="0"/>
              <w:right w:val="single" w:color="auto" w:sz="4" w:space="0"/>
            </w:tcBorders>
            <w:noWrap/>
            <w:vAlign w:val="center"/>
          </w:tcPr>
          <w:p w14:paraId="3A4B7160">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件</w:t>
            </w:r>
          </w:p>
        </w:tc>
        <w:tc>
          <w:tcPr>
            <w:tcW w:w="1134" w:type="dxa"/>
            <w:tcBorders>
              <w:top w:val="single" w:color="auto" w:sz="4" w:space="0"/>
              <w:left w:val="single" w:color="auto" w:sz="4" w:space="0"/>
              <w:bottom w:val="single" w:color="auto" w:sz="4" w:space="0"/>
              <w:right w:val="single" w:color="auto" w:sz="4" w:space="0"/>
            </w:tcBorders>
            <w:noWrap/>
            <w:vAlign w:val="center"/>
          </w:tcPr>
          <w:p w14:paraId="10E2BC8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0.5</w:t>
            </w:r>
          </w:p>
        </w:tc>
        <w:tc>
          <w:tcPr>
            <w:tcW w:w="1275" w:type="dxa"/>
            <w:tcBorders>
              <w:top w:val="single" w:color="auto" w:sz="4" w:space="0"/>
              <w:left w:val="single" w:color="auto" w:sz="4" w:space="0"/>
              <w:bottom w:val="single" w:color="auto" w:sz="4" w:space="0"/>
              <w:right w:val="single" w:color="auto" w:sz="4" w:space="0"/>
            </w:tcBorders>
            <w:noWrap/>
            <w:vAlign w:val="center"/>
          </w:tcPr>
          <w:p w14:paraId="01657B20">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0.8</w:t>
            </w:r>
          </w:p>
        </w:tc>
        <w:tc>
          <w:tcPr>
            <w:tcW w:w="1276" w:type="dxa"/>
            <w:tcBorders>
              <w:top w:val="single" w:color="auto" w:sz="4" w:space="0"/>
              <w:left w:val="single" w:color="auto" w:sz="4" w:space="0"/>
              <w:bottom w:val="single" w:color="auto" w:sz="4" w:space="0"/>
              <w:right w:val="single" w:color="auto" w:sz="4" w:space="0"/>
            </w:tcBorders>
            <w:vAlign w:val="center"/>
          </w:tcPr>
          <w:p w14:paraId="756D858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1.32</w:t>
            </w:r>
          </w:p>
        </w:tc>
      </w:tr>
      <w:tr w14:paraId="5013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31D8675C">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0F6D5866">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7</w:t>
            </w:r>
          </w:p>
        </w:tc>
        <w:tc>
          <w:tcPr>
            <w:tcW w:w="3096" w:type="dxa"/>
            <w:tcBorders>
              <w:top w:val="single" w:color="auto" w:sz="4" w:space="0"/>
              <w:left w:val="single" w:color="auto" w:sz="4" w:space="0"/>
              <w:bottom w:val="single" w:color="auto" w:sz="4" w:space="0"/>
              <w:right w:val="single" w:color="auto" w:sz="4" w:space="0"/>
            </w:tcBorders>
            <w:noWrap/>
            <w:vAlign w:val="center"/>
          </w:tcPr>
          <w:p w14:paraId="72F22B96">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高新技术企业数量</w:t>
            </w:r>
          </w:p>
        </w:tc>
        <w:tc>
          <w:tcPr>
            <w:tcW w:w="709" w:type="dxa"/>
            <w:tcBorders>
              <w:top w:val="single" w:color="auto" w:sz="4" w:space="0"/>
              <w:left w:val="single" w:color="auto" w:sz="4" w:space="0"/>
              <w:bottom w:val="single" w:color="auto" w:sz="4" w:space="0"/>
              <w:right w:val="single" w:color="auto" w:sz="4" w:space="0"/>
            </w:tcBorders>
            <w:noWrap/>
            <w:vAlign w:val="center"/>
          </w:tcPr>
          <w:p w14:paraId="5D352675">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家</w:t>
            </w:r>
          </w:p>
        </w:tc>
        <w:tc>
          <w:tcPr>
            <w:tcW w:w="1134" w:type="dxa"/>
            <w:tcBorders>
              <w:top w:val="single" w:color="auto" w:sz="4" w:space="0"/>
              <w:left w:val="single" w:color="auto" w:sz="4" w:space="0"/>
              <w:bottom w:val="single" w:color="auto" w:sz="4" w:space="0"/>
              <w:right w:val="single" w:color="auto" w:sz="4" w:space="0"/>
            </w:tcBorders>
            <w:noWrap/>
            <w:vAlign w:val="center"/>
          </w:tcPr>
          <w:p w14:paraId="783FCDC2">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64</w:t>
            </w:r>
          </w:p>
        </w:tc>
        <w:tc>
          <w:tcPr>
            <w:tcW w:w="1275" w:type="dxa"/>
            <w:tcBorders>
              <w:top w:val="single" w:color="auto" w:sz="4" w:space="0"/>
              <w:left w:val="single" w:color="auto" w:sz="4" w:space="0"/>
              <w:bottom w:val="single" w:color="auto" w:sz="4" w:space="0"/>
              <w:right w:val="single" w:color="auto" w:sz="4" w:space="0"/>
            </w:tcBorders>
            <w:noWrap/>
            <w:vAlign w:val="center"/>
          </w:tcPr>
          <w:p w14:paraId="59FA9B63">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120</w:t>
            </w:r>
          </w:p>
        </w:tc>
        <w:tc>
          <w:tcPr>
            <w:tcW w:w="1276" w:type="dxa"/>
            <w:tcBorders>
              <w:top w:val="single" w:color="auto" w:sz="4" w:space="0"/>
              <w:left w:val="single" w:color="auto" w:sz="4" w:space="0"/>
              <w:bottom w:val="single" w:color="auto" w:sz="4" w:space="0"/>
              <w:right w:val="single" w:color="auto" w:sz="4" w:space="0"/>
            </w:tcBorders>
            <w:noWrap/>
            <w:vAlign w:val="center"/>
          </w:tcPr>
          <w:p w14:paraId="5411F3E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483</w:t>
            </w:r>
          </w:p>
        </w:tc>
      </w:tr>
      <w:tr w14:paraId="608C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restart"/>
            <w:tcBorders>
              <w:top w:val="nil"/>
              <w:left w:val="single" w:color="auto" w:sz="4" w:space="0"/>
              <w:bottom w:val="single" w:color="auto" w:sz="4" w:space="0"/>
              <w:right w:val="single" w:color="auto" w:sz="4" w:space="0"/>
            </w:tcBorders>
            <w:noWrap/>
            <w:vAlign w:val="center"/>
          </w:tcPr>
          <w:p w14:paraId="42EF1370">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质量</w:t>
            </w:r>
          </w:p>
          <w:p w14:paraId="15BC9552">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效益</w:t>
            </w:r>
          </w:p>
        </w:tc>
        <w:tc>
          <w:tcPr>
            <w:tcW w:w="636" w:type="dxa"/>
            <w:tcBorders>
              <w:top w:val="single" w:color="auto" w:sz="4" w:space="0"/>
              <w:left w:val="single" w:color="auto" w:sz="4" w:space="0"/>
              <w:bottom w:val="single" w:color="auto" w:sz="4" w:space="0"/>
              <w:right w:val="single" w:color="auto" w:sz="4" w:space="0"/>
            </w:tcBorders>
            <w:noWrap/>
            <w:vAlign w:val="center"/>
          </w:tcPr>
          <w:p w14:paraId="7F4E732B">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8</w:t>
            </w:r>
          </w:p>
        </w:tc>
        <w:tc>
          <w:tcPr>
            <w:tcW w:w="3096" w:type="dxa"/>
            <w:tcBorders>
              <w:top w:val="single" w:color="auto" w:sz="4" w:space="0"/>
              <w:left w:val="single" w:color="auto" w:sz="4" w:space="0"/>
              <w:bottom w:val="single" w:color="auto" w:sz="4" w:space="0"/>
              <w:right w:val="single" w:color="auto" w:sz="4" w:space="0"/>
            </w:tcBorders>
            <w:noWrap/>
            <w:vAlign w:val="center"/>
          </w:tcPr>
          <w:p w14:paraId="167CE25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地方财政收入</w:t>
            </w:r>
          </w:p>
        </w:tc>
        <w:tc>
          <w:tcPr>
            <w:tcW w:w="709" w:type="dxa"/>
            <w:tcBorders>
              <w:top w:val="single" w:color="auto" w:sz="4" w:space="0"/>
              <w:left w:val="single" w:color="auto" w:sz="4" w:space="0"/>
              <w:bottom w:val="single" w:color="auto" w:sz="4" w:space="0"/>
              <w:right w:val="single" w:color="auto" w:sz="4" w:space="0"/>
            </w:tcBorders>
            <w:noWrap/>
            <w:vAlign w:val="center"/>
          </w:tcPr>
          <w:p w14:paraId="53D3CD66">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亿元</w:t>
            </w:r>
          </w:p>
        </w:tc>
        <w:tc>
          <w:tcPr>
            <w:tcW w:w="1134" w:type="dxa"/>
            <w:tcBorders>
              <w:top w:val="single" w:color="auto" w:sz="4" w:space="0"/>
              <w:left w:val="single" w:color="auto" w:sz="4" w:space="0"/>
              <w:bottom w:val="single" w:color="auto" w:sz="4" w:space="0"/>
              <w:right w:val="single" w:color="auto" w:sz="4" w:space="0"/>
            </w:tcBorders>
            <w:noWrap/>
            <w:vAlign w:val="center"/>
          </w:tcPr>
          <w:p w14:paraId="301C7B8B">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28.4</w:t>
            </w:r>
          </w:p>
        </w:tc>
        <w:tc>
          <w:tcPr>
            <w:tcW w:w="1275" w:type="dxa"/>
            <w:tcBorders>
              <w:top w:val="single" w:color="auto" w:sz="4" w:space="0"/>
              <w:left w:val="single" w:color="auto" w:sz="4" w:space="0"/>
              <w:bottom w:val="single" w:color="auto" w:sz="4" w:space="0"/>
              <w:right w:val="single" w:color="auto" w:sz="4" w:space="0"/>
            </w:tcBorders>
            <w:noWrap/>
            <w:vAlign w:val="center"/>
          </w:tcPr>
          <w:p w14:paraId="4B0A8AC9">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34</w:t>
            </w:r>
          </w:p>
        </w:tc>
        <w:tc>
          <w:tcPr>
            <w:tcW w:w="1276" w:type="dxa"/>
            <w:tcBorders>
              <w:top w:val="single" w:color="auto" w:sz="4" w:space="0"/>
              <w:left w:val="single" w:color="auto" w:sz="4" w:space="0"/>
              <w:bottom w:val="single" w:color="auto" w:sz="4" w:space="0"/>
              <w:right w:val="single" w:color="auto" w:sz="4" w:space="0"/>
            </w:tcBorders>
            <w:noWrap/>
            <w:vAlign w:val="center"/>
          </w:tcPr>
          <w:p w14:paraId="74A1EBE0">
            <w:pPr>
              <w:overflowPunct w:val="0"/>
              <w:topLinePunct/>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39.34</w:t>
            </w:r>
          </w:p>
        </w:tc>
      </w:tr>
      <w:tr w14:paraId="43FC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2D81B10D">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59130C0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9</w:t>
            </w:r>
          </w:p>
        </w:tc>
        <w:tc>
          <w:tcPr>
            <w:tcW w:w="3096" w:type="dxa"/>
            <w:tcBorders>
              <w:top w:val="single" w:color="auto" w:sz="4" w:space="0"/>
              <w:left w:val="single" w:color="auto" w:sz="4" w:space="0"/>
              <w:bottom w:val="single" w:color="auto" w:sz="4" w:space="0"/>
              <w:right w:val="single" w:color="auto" w:sz="4" w:space="0"/>
            </w:tcBorders>
            <w:noWrap/>
            <w:vAlign w:val="center"/>
          </w:tcPr>
          <w:p w14:paraId="1BE9004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服务业增加值占GDP比重</w:t>
            </w:r>
          </w:p>
        </w:tc>
        <w:tc>
          <w:tcPr>
            <w:tcW w:w="709" w:type="dxa"/>
            <w:tcBorders>
              <w:top w:val="single" w:color="auto" w:sz="4" w:space="0"/>
              <w:left w:val="single" w:color="auto" w:sz="4" w:space="0"/>
              <w:bottom w:val="single" w:color="auto" w:sz="4" w:space="0"/>
              <w:right w:val="single" w:color="auto" w:sz="4" w:space="0"/>
            </w:tcBorders>
            <w:noWrap/>
            <w:vAlign w:val="center"/>
          </w:tcPr>
          <w:p w14:paraId="162A3659">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009BF132">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45.3</w:t>
            </w:r>
          </w:p>
        </w:tc>
        <w:tc>
          <w:tcPr>
            <w:tcW w:w="1275" w:type="dxa"/>
            <w:tcBorders>
              <w:top w:val="single" w:color="auto" w:sz="4" w:space="0"/>
              <w:left w:val="single" w:color="auto" w:sz="4" w:space="0"/>
              <w:bottom w:val="single" w:color="auto" w:sz="4" w:space="0"/>
              <w:right w:val="single" w:color="auto" w:sz="4" w:space="0"/>
            </w:tcBorders>
            <w:noWrap/>
            <w:vAlign w:val="center"/>
          </w:tcPr>
          <w:p w14:paraId="09B3DB02">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46</w:t>
            </w:r>
          </w:p>
        </w:tc>
        <w:tc>
          <w:tcPr>
            <w:tcW w:w="1276" w:type="dxa"/>
            <w:tcBorders>
              <w:top w:val="single" w:color="auto" w:sz="4" w:space="0"/>
              <w:left w:val="single" w:color="auto" w:sz="4" w:space="0"/>
              <w:bottom w:val="single" w:color="auto" w:sz="4" w:space="0"/>
              <w:right w:val="single" w:color="auto" w:sz="4" w:space="0"/>
            </w:tcBorders>
            <w:noWrap/>
            <w:vAlign w:val="center"/>
          </w:tcPr>
          <w:p w14:paraId="08ABBF1F">
            <w:pPr>
              <w:overflowPunct w:val="0"/>
              <w:topLinePunct/>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60.1</w:t>
            </w:r>
          </w:p>
        </w:tc>
      </w:tr>
      <w:tr w14:paraId="0350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687059A2">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5193460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10</w:t>
            </w:r>
          </w:p>
        </w:tc>
        <w:tc>
          <w:tcPr>
            <w:tcW w:w="3096" w:type="dxa"/>
            <w:tcBorders>
              <w:top w:val="single" w:color="auto" w:sz="4" w:space="0"/>
              <w:left w:val="single" w:color="auto" w:sz="4" w:space="0"/>
              <w:bottom w:val="single" w:color="auto" w:sz="4" w:space="0"/>
              <w:right w:val="single" w:color="auto" w:sz="4" w:space="0"/>
            </w:tcBorders>
            <w:noWrap/>
            <w:vAlign w:val="center"/>
          </w:tcPr>
          <w:p w14:paraId="6ECD9258">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常住人口城镇化率</w:t>
            </w:r>
          </w:p>
        </w:tc>
        <w:tc>
          <w:tcPr>
            <w:tcW w:w="709" w:type="dxa"/>
            <w:tcBorders>
              <w:top w:val="single" w:color="auto" w:sz="4" w:space="0"/>
              <w:left w:val="single" w:color="auto" w:sz="4" w:space="0"/>
              <w:bottom w:val="single" w:color="auto" w:sz="4" w:space="0"/>
              <w:right w:val="single" w:color="auto" w:sz="4" w:space="0"/>
            </w:tcBorders>
            <w:noWrap/>
            <w:vAlign w:val="center"/>
          </w:tcPr>
          <w:p w14:paraId="287060FB">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652229E5">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49.92</w:t>
            </w:r>
          </w:p>
        </w:tc>
        <w:tc>
          <w:tcPr>
            <w:tcW w:w="1275" w:type="dxa"/>
            <w:tcBorders>
              <w:top w:val="single" w:color="auto" w:sz="4" w:space="0"/>
              <w:left w:val="single" w:color="auto" w:sz="4" w:space="0"/>
              <w:bottom w:val="single" w:color="auto" w:sz="4" w:space="0"/>
              <w:right w:val="single" w:color="auto" w:sz="4" w:space="0"/>
            </w:tcBorders>
            <w:noWrap/>
            <w:vAlign w:val="center"/>
          </w:tcPr>
          <w:p w14:paraId="2983C90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57</w:t>
            </w:r>
          </w:p>
        </w:tc>
        <w:tc>
          <w:tcPr>
            <w:tcW w:w="1276" w:type="dxa"/>
            <w:tcBorders>
              <w:top w:val="single" w:color="auto" w:sz="4" w:space="0"/>
              <w:left w:val="single" w:color="auto" w:sz="4" w:space="0"/>
              <w:bottom w:val="single" w:color="auto" w:sz="4" w:space="0"/>
              <w:right w:val="single" w:color="auto" w:sz="4" w:space="0"/>
            </w:tcBorders>
            <w:noWrap/>
            <w:vAlign w:val="center"/>
          </w:tcPr>
          <w:p w14:paraId="2964660B">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56.23</w:t>
            </w:r>
          </w:p>
        </w:tc>
      </w:tr>
      <w:tr w14:paraId="2380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restart"/>
            <w:tcBorders>
              <w:top w:val="single" w:color="auto" w:sz="4" w:space="0"/>
              <w:left w:val="single" w:color="auto" w:sz="4" w:space="0"/>
              <w:bottom w:val="single" w:color="auto" w:sz="4" w:space="0"/>
              <w:right w:val="single" w:color="auto" w:sz="4" w:space="0"/>
            </w:tcBorders>
            <w:noWrap/>
            <w:vAlign w:val="center"/>
          </w:tcPr>
          <w:p w14:paraId="70A37DB2">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改革</w:t>
            </w:r>
          </w:p>
          <w:p w14:paraId="1AE39683">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开放</w:t>
            </w:r>
          </w:p>
        </w:tc>
        <w:tc>
          <w:tcPr>
            <w:tcW w:w="636" w:type="dxa"/>
            <w:tcBorders>
              <w:top w:val="single" w:color="auto" w:sz="4" w:space="0"/>
              <w:left w:val="single" w:color="auto" w:sz="4" w:space="0"/>
              <w:bottom w:val="single" w:color="auto" w:sz="4" w:space="0"/>
              <w:right w:val="single" w:color="auto" w:sz="4" w:space="0"/>
            </w:tcBorders>
            <w:noWrap/>
            <w:vAlign w:val="center"/>
          </w:tcPr>
          <w:p w14:paraId="3EC61AA3">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11</w:t>
            </w:r>
          </w:p>
        </w:tc>
        <w:tc>
          <w:tcPr>
            <w:tcW w:w="3096" w:type="dxa"/>
            <w:tcBorders>
              <w:top w:val="single" w:color="auto" w:sz="4" w:space="0"/>
              <w:left w:val="single" w:color="auto" w:sz="4" w:space="0"/>
              <w:bottom w:val="single" w:color="auto" w:sz="4" w:space="0"/>
              <w:right w:val="single" w:color="auto" w:sz="4" w:space="0"/>
            </w:tcBorders>
            <w:noWrap/>
            <w:vAlign w:val="center"/>
          </w:tcPr>
          <w:p w14:paraId="2647DCE2">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进出口贸易总额增速</w:t>
            </w:r>
          </w:p>
        </w:tc>
        <w:tc>
          <w:tcPr>
            <w:tcW w:w="709" w:type="dxa"/>
            <w:tcBorders>
              <w:top w:val="single" w:color="auto" w:sz="4" w:space="0"/>
              <w:left w:val="single" w:color="auto" w:sz="4" w:space="0"/>
              <w:bottom w:val="single" w:color="auto" w:sz="4" w:space="0"/>
              <w:right w:val="single" w:color="auto" w:sz="4" w:space="0"/>
            </w:tcBorders>
            <w:noWrap/>
            <w:vAlign w:val="center"/>
          </w:tcPr>
          <w:p w14:paraId="6F83C8C6">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5AED188B">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15</w:t>
            </w:r>
          </w:p>
        </w:tc>
        <w:tc>
          <w:tcPr>
            <w:tcW w:w="1275" w:type="dxa"/>
            <w:tcBorders>
              <w:top w:val="single" w:color="auto" w:sz="4" w:space="0"/>
              <w:left w:val="single" w:color="auto" w:sz="4" w:space="0"/>
              <w:bottom w:val="single" w:color="auto" w:sz="4" w:space="0"/>
              <w:right w:val="single" w:color="auto" w:sz="4" w:space="0"/>
            </w:tcBorders>
            <w:noWrap/>
            <w:vAlign w:val="center"/>
          </w:tcPr>
          <w:p w14:paraId="7D0DE6A8">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15</w:t>
            </w:r>
          </w:p>
        </w:tc>
        <w:tc>
          <w:tcPr>
            <w:tcW w:w="1276" w:type="dxa"/>
            <w:tcBorders>
              <w:top w:val="single" w:color="auto" w:sz="4" w:space="0"/>
              <w:left w:val="single" w:color="auto" w:sz="4" w:space="0"/>
              <w:bottom w:val="single" w:color="auto" w:sz="4" w:space="0"/>
              <w:right w:val="single" w:color="auto" w:sz="4" w:space="0"/>
            </w:tcBorders>
            <w:noWrap/>
            <w:vAlign w:val="center"/>
          </w:tcPr>
          <w:p w14:paraId="0AB86343">
            <w:pPr>
              <w:overflowPunct w:val="0"/>
              <w:topLinePunct/>
              <w:adjustRightInd w:val="0"/>
              <w:snapToGrid w:val="0"/>
              <w:spacing w:line="560" w:lineRule="exact"/>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【20.3】</w:t>
            </w:r>
          </w:p>
        </w:tc>
      </w:tr>
      <w:tr w14:paraId="1E5F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single" w:color="auto" w:sz="4" w:space="0"/>
              <w:left w:val="single" w:color="auto" w:sz="4" w:space="0"/>
              <w:bottom w:val="single" w:color="auto" w:sz="4" w:space="0"/>
              <w:right w:val="single" w:color="auto" w:sz="4" w:space="0"/>
            </w:tcBorders>
            <w:vAlign w:val="center"/>
          </w:tcPr>
          <w:p w14:paraId="341BAAF2">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6869B2B0">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12</w:t>
            </w:r>
          </w:p>
        </w:tc>
        <w:tc>
          <w:tcPr>
            <w:tcW w:w="3096" w:type="dxa"/>
            <w:tcBorders>
              <w:top w:val="single" w:color="auto" w:sz="4" w:space="0"/>
              <w:left w:val="single" w:color="auto" w:sz="4" w:space="0"/>
              <w:bottom w:val="single" w:color="auto" w:sz="4" w:space="0"/>
              <w:right w:val="single" w:color="auto" w:sz="4" w:space="0"/>
            </w:tcBorders>
            <w:noWrap/>
            <w:vAlign w:val="center"/>
          </w:tcPr>
          <w:p w14:paraId="150DF5BF">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非公有制经济增加值占GDP比重</w:t>
            </w:r>
          </w:p>
        </w:tc>
        <w:tc>
          <w:tcPr>
            <w:tcW w:w="709" w:type="dxa"/>
            <w:tcBorders>
              <w:top w:val="single" w:color="auto" w:sz="4" w:space="0"/>
              <w:left w:val="single" w:color="auto" w:sz="4" w:space="0"/>
              <w:bottom w:val="single" w:color="auto" w:sz="4" w:space="0"/>
              <w:right w:val="single" w:color="auto" w:sz="4" w:space="0"/>
            </w:tcBorders>
            <w:noWrap/>
            <w:vAlign w:val="center"/>
          </w:tcPr>
          <w:p w14:paraId="498BA5F0">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454967A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59.6</w:t>
            </w:r>
          </w:p>
        </w:tc>
        <w:tc>
          <w:tcPr>
            <w:tcW w:w="1275" w:type="dxa"/>
            <w:tcBorders>
              <w:top w:val="single" w:color="auto" w:sz="4" w:space="0"/>
              <w:left w:val="single" w:color="auto" w:sz="4" w:space="0"/>
              <w:bottom w:val="single" w:color="auto" w:sz="4" w:space="0"/>
              <w:right w:val="single" w:color="auto" w:sz="4" w:space="0"/>
            </w:tcBorders>
            <w:noWrap/>
            <w:vAlign w:val="center"/>
          </w:tcPr>
          <w:p w14:paraId="1105656E">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62</w:t>
            </w:r>
          </w:p>
        </w:tc>
        <w:tc>
          <w:tcPr>
            <w:tcW w:w="1276" w:type="dxa"/>
            <w:tcBorders>
              <w:top w:val="single" w:color="auto" w:sz="4" w:space="0"/>
              <w:left w:val="single" w:color="auto" w:sz="4" w:space="0"/>
              <w:bottom w:val="single" w:color="auto" w:sz="4" w:space="0"/>
              <w:right w:val="single" w:color="auto" w:sz="4" w:space="0"/>
            </w:tcBorders>
            <w:noWrap/>
            <w:vAlign w:val="center"/>
          </w:tcPr>
          <w:p w14:paraId="76A33A54">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 xml:space="preserve">57.1    </w:t>
            </w:r>
          </w:p>
        </w:tc>
      </w:tr>
      <w:tr w14:paraId="2F8E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58BF6D92">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73AF0FE4">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13</w:t>
            </w:r>
          </w:p>
        </w:tc>
        <w:tc>
          <w:tcPr>
            <w:tcW w:w="3096" w:type="dxa"/>
            <w:tcBorders>
              <w:top w:val="single" w:color="auto" w:sz="4" w:space="0"/>
              <w:left w:val="single" w:color="auto" w:sz="4" w:space="0"/>
              <w:bottom w:val="single" w:color="auto" w:sz="4" w:space="0"/>
              <w:right w:val="single" w:color="auto" w:sz="4" w:space="0"/>
            </w:tcBorders>
            <w:noWrap/>
            <w:vAlign w:val="center"/>
          </w:tcPr>
          <w:p w14:paraId="50F55C7B">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新增经营主体增速</w:t>
            </w:r>
          </w:p>
        </w:tc>
        <w:tc>
          <w:tcPr>
            <w:tcW w:w="709" w:type="dxa"/>
            <w:tcBorders>
              <w:top w:val="single" w:color="auto" w:sz="4" w:space="0"/>
              <w:left w:val="single" w:color="auto" w:sz="4" w:space="0"/>
              <w:bottom w:val="single" w:color="auto" w:sz="4" w:space="0"/>
              <w:right w:val="single" w:color="auto" w:sz="4" w:space="0"/>
            </w:tcBorders>
            <w:noWrap/>
            <w:vAlign w:val="center"/>
          </w:tcPr>
          <w:p w14:paraId="6D1298CC">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2540E181">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14</w:t>
            </w:r>
          </w:p>
        </w:tc>
        <w:tc>
          <w:tcPr>
            <w:tcW w:w="1275" w:type="dxa"/>
            <w:tcBorders>
              <w:top w:val="single" w:color="auto" w:sz="4" w:space="0"/>
              <w:left w:val="single" w:color="auto" w:sz="4" w:space="0"/>
              <w:bottom w:val="single" w:color="auto" w:sz="4" w:space="0"/>
              <w:right w:val="single" w:color="auto" w:sz="4" w:space="0"/>
            </w:tcBorders>
            <w:noWrap/>
            <w:vAlign w:val="center"/>
          </w:tcPr>
          <w:p w14:paraId="1F8D9CD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【25】</w:t>
            </w:r>
          </w:p>
        </w:tc>
        <w:tc>
          <w:tcPr>
            <w:tcW w:w="1276" w:type="dxa"/>
            <w:tcBorders>
              <w:top w:val="single" w:color="auto" w:sz="4" w:space="0"/>
              <w:left w:val="single" w:color="auto" w:sz="4" w:space="0"/>
              <w:bottom w:val="single" w:color="auto" w:sz="4" w:space="0"/>
              <w:right w:val="single" w:color="auto" w:sz="4" w:space="0"/>
            </w:tcBorders>
            <w:noWrap/>
            <w:vAlign w:val="center"/>
          </w:tcPr>
          <w:p w14:paraId="5504C8C3">
            <w:pPr>
              <w:overflowPunct w:val="0"/>
              <w:topLinePunct/>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【30.69】</w:t>
            </w:r>
          </w:p>
        </w:tc>
      </w:tr>
      <w:tr w14:paraId="6CD4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restart"/>
            <w:tcBorders>
              <w:top w:val="nil"/>
              <w:left w:val="single" w:color="auto" w:sz="4" w:space="0"/>
              <w:bottom w:val="single" w:color="auto" w:sz="4" w:space="0"/>
              <w:right w:val="single" w:color="auto" w:sz="4" w:space="0"/>
            </w:tcBorders>
            <w:noWrap/>
            <w:vAlign w:val="center"/>
          </w:tcPr>
          <w:p w14:paraId="3E04E024">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生态</w:t>
            </w:r>
          </w:p>
          <w:p w14:paraId="63F5FE9F">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环境</w:t>
            </w:r>
          </w:p>
        </w:tc>
        <w:tc>
          <w:tcPr>
            <w:tcW w:w="636" w:type="dxa"/>
            <w:tcBorders>
              <w:top w:val="single" w:color="auto" w:sz="4" w:space="0"/>
              <w:left w:val="single" w:color="auto" w:sz="4" w:space="0"/>
              <w:bottom w:val="single" w:color="auto" w:sz="4" w:space="0"/>
              <w:right w:val="single" w:color="auto" w:sz="4" w:space="0"/>
            </w:tcBorders>
            <w:noWrap/>
            <w:vAlign w:val="center"/>
          </w:tcPr>
          <w:p w14:paraId="7C47B514">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14</w:t>
            </w:r>
          </w:p>
        </w:tc>
        <w:tc>
          <w:tcPr>
            <w:tcW w:w="3096" w:type="dxa"/>
            <w:tcBorders>
              <w:top w:val="single" w:color="auto" w:sz="4" w:space="0"/>
              <w:left w:val="single" w:color="auto" w:sz="4" w:space="0"/>
              <w:bottom w:val="single" w:color="auto" w:sz="4" w:space="0"/>
              <w:right w:val="single" w:color="auto" w:sz="4" w:space="0"/>
            </w:tcBorders>
            <w:noWrap/>
            <w:vAlign w:val="center"/>
          </w:tcPr>
          <w:p w14:paraId="61A90DCC">
            <w:pPr>
              <w:overflowPunct w:val="0"/>
              <w:topLinePunct/>
              <w:adjustRightInd w:val="0"/>
              <w:snapToGrid w:val="0"/>
              <w:jc w:val="center"/>
              <w:textAlignment w:val="center"/>
              <w:rPr>
                <w:rFonts w:ascii="宋体" w:hAnsi="宋体" w:eastAsia="宋体"/>
                <w:color w:val="000000" w:themeColor="text1"/>
                <w:kern w:val="0"/>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单位GDP能源消耗降低</w:t>
            </w:r>
          </w:p>
        </w:tc>
        <w:tc>
          <w:tcPr>
            <w:tcW w:w="709" w:type="dxa"/>
            <w:tcBorders>
              <w:top w:val="single" w:color="auto" w:sz="4" w:space="0"/>
              <w:left w:val="single" w:color="auto" w:sz="4" w:space="0"/>
              <w:bottom w:val="single" w:color="auto" w:sz="4" w:space="0"/>
              <w:right w:val="single" w:color="auto" w:sz="4" w:space="0"/>
            </w:tcBorders>
            <w:noWrap/>
            <w:vAlign w:val="center"/>
          </w:tcPr>
          <w:p w14:paraId="5326B4D0">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243F0C53">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【16】</w:t>
            </w:r>
          </w:p>
        </w:tc>
        <w:tc>
          <w:tcPr>
            <w:tcW w:w="1275" w:type="dxa"/>
            <w:tcBorders>
              <w:top w:val="single" w:color="auto" w:sz="4" w:space="0"/>
              <w:left w:val="single" w:color="auto" w:sz="4" w:space="0"/>
              <w:bottom w:val="single" w:color="auto" w:sz="4" w:space="0"/>
              <w:right w:val="single" w:color="auto" w:sz="4" w:space="0"/>
            </w:tcBorders>
            <w:vAlign w:val="center"/>
          </w:tcPr>
          <w:p w14:paraId="311A272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【13.5】</w:t>
            </w:r>
          </w:p>
        </w:tc>
        <w:tc>
          <w:tcPr>
            <w:tcW w:w="1276" w:type="dxa"/>
            <w:tcBorders>
              <w:top w:val="single" w:color="auto" w:sz="4" w:space="0"/>
              <w:left w:val="single" w:color="auto" w:sz="4" w:space="0"/>
              <w:bottom w:val="single" w:color="auto" w:sz="4" w:space="0"/>
              <w:right w:val="single" w:color="auto" w:sz="4" w:space="0"/>
            </w:tcBorders>
            <w:noWrap/>
            <w:vAlign w:val="center"/>
          </w:tcPr>
          <w:p w14:paraId="09F213FF">
            <w:pPr>
              <w:overflowPunct w:val="0"/>
              <w:topLinePunct/>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 xml:space="preserve">【20.9】  </w:t>
            </w:r>
          </w:p>
        </w:tc>
      </w:tr>
      <w:tr w14:paraId="1572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2527AAC5">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11A18B31">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15</w:t>
            </w:r>
          </w:p>
        </w:tc>
        <w:tc>
          <w:tcPr>
            <w:tcW w:w="3096" w:type="dxa"/>
            <w:tcBorders>
              <w:top w:val="single" w:color="auto" w:sz="4" w:space="0"/>
              <w:left w:val="single" w:color="auto" w:sz="4" w:space="0"/>
              <w:bottom w:val="single" w:color="auto" w:sz="4" w:space="0"/>
              <w:right w:val="single" w:color="auto" w:sz="4" w:space="0"/>
            </w:tcBorders>
            <w:noWrap/>
            <w:vAlign w:val="center"/>
          </w:tcPr>
          <w:p w14:paraId="75CCC1AC">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单位GDP二氧化碳排放下降</w:t>
            </w:r>
          </w:p>
        </w:tc>
        <w:tc>
          <w:tcPr>
            <w:tcW w:w="709" w:type="dxa"/>
            <w:tcBorders>
              <w:top w:val="single" w:color="auto" w:sz="4" w:space="0"/>
              <w:left w:val="single" w:color="auto" w:sz="4" w:space="0"/>
              <w:bottom w:val="single" w:color="auto" w:sz="4" w:space="0"/>
              <w:right w:val="single" w:color="auto" w:sz="4" w:space="0"/>
            </w:tcBorders>
            <w:noWrap/>
            <w:vAlign w:val="center"/>
          </w:tcPr>
          <w:p w14:paraId="78816E8F">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7D6FC59F">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【17】</w:t>
            </w:r>
          </w:p>
        </w:tc>
        <w:tc>
          <w:tcPr>
            <w:tcW w:w="1275" w:type="dxa"/>
            <w:tcBorders>
              <w:top w:val="single" w:color="auto" w:sz="4" w:space="0"/>
              <w:left w:val="single" w:color="auto" w:sz="4" w:space="0"/>
              <w:bottom w:val="single" w:color="auto" w:sz="4" w:space="0"/>
              <w:right w:val="single" w:color="auto" w:sz="4" w:space="0"/>
            </w:tcBorders>
            <w:noWrap/>
            <w:vAlign w:val="center"/>
          </w:tcPr>
          <w:p w14:paraId="1279644E">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17以上</w:t>
            </w:r>
          </w:p>
        </w:tc>
        <w:tc>
          <w:tcPr>
            <w:tcW w:w="1276" w:type="dxa"/>
            <w:tcBorders>
              <w:top w:val="single" w:color="auto" w:sz="4" w:space="0"/>
              <w:left w:val="single" w:color="auto" w:sz="4" w:space="0"/>
              <w:bottom w:val="single" w:color="auto" w:sz="4" w:space="0"/>
              <w:right w:val="single" w:color="auto" w:sz="4" w:space="0"/>
            </w:tcBorders>
            <w:noWrap/>
            <w:vAlign w:val="center"/>
          </w:tcPr>
          <w:p w14:paraId="38136533">
            <w:pPr>
              <w:overflowPunct w:val="0"/>
              <w:topLinePunct/>
              <w:adjustRightInd w:val="0"/>
              <w:snapToGrid w:val="0"/>
              <w:jc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w:t>
            </w:r>
          </w:p>
        </w:tc>
      </w:tr>
      <w:tr w14:paraId="2175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0F3A0845">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6D34C766">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16</w:t>
            </w:r>
          </w:p>
        </w:tc>
        <w:tc>
          <w:tcPr>
            <w:tcW w:w="3096" w:type="dxa"/>
            <w:tcBorders>
              <w:top w:val="single" w:color="auto" w:sz="4" w:space="0"/>
              <w:left w:val="single" w:color="auto" w:sz="4" w:space="0"/>
              <w:bottom w:val="single" w:color="auto" w:sz="4" w:space="0"/>
              <w:right w:val="single" w:color="auto" w:sz="4" w:space="0"/>
            </w:tcBorders>
            <w:noWrap/>
            <w:vAlign w:val="center"/>
          </w:tcPr>
          <w:p w14:paraId="745B1243">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地表水达到或好于Ⅲ类水体比例</w:t>
            </w:r>
          </w:p>
        </w:tc>
        <w:tc>
          <w:tcPr>
            <w:tcW w:w="709" w:type="dxa"/>
            <w:tcBorders>
              <w:top w:val="single" w:color="auto" w:sz="4" w:space="0"/>
              <w:left w:val="single" w:color="auto" w:sz="4" w:space="0"/>
              <w:bottom w:val="single" w:color="auto" w:sz="4" w:space="0"/>
              <w:right w:val="single" w:color="auto" w:sz="4" w:space="0"/>
            </w:tcBorders>
            <w:noWrap/>
            <w:vAlign w:val="center"/>
          </w:tcPr>
          <w:p w14:paraId="7DBFC1DB">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4A99BC2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100</w:t>
            </w:r>
          </w:p>
        </w:tc>
        <w:tc>
          <w:tcPr>
            <w:tcW w:w="1275" w:type="dxa"/>
            <w:tcBorders>
              <w:top w:val="single" w:color="auto" w:sz="4" w:space="0"/>
              <w:left w:val="single" w:color="auto" w:sz="4" w:space="0"/>
              <w:bottom w:val="single" w:color="auto" w:sz="4" w:space="0"/>
              <w:right w:val="single" w:color="auto" w:sz="4" w:space="0"/>
            </w:tcBorders>
            <w:noWrap/>
            <w:vAlign w:val="center"/>
          </w:tcPr>
          <w:p w14:paraId="3D18E3DE">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100</w:t>
            </w:r>
          </w:p>
        </w:tc>
        <w:tc>
          <w:tcPr>
            <w:tcW w:w="1276" w:type="dxa"/>
            <w:tcBorders>
              <w:top w:val="single" w:color="auto" w:sz="4" w:space="0"/>
              <w:left w:val="single" w:color="auto" w:sz="4" w:space="0"/>
              <w:bottom w:val="single" w:color="auto" w:sz="4" w:space="0"/>
              <w:right w:val="single" w:color="auto" w:sz="4" w:space="0"/>
            </w:tcBorders>
            <w:noWrap/>
            <w:vAlign w:val="center"/>
          </w:tcPr>
          <w:p w14:paraId="143EBEF4">
            <w:pPr>
              <w:overflowPunct w:val="0"/>
              <w:topLinePunct/>
              <w:adjustRightInd w:val="0"/>
              <w:snapToGrid w:val="0"/>
              <w:jc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100</w:t>
            </w:r>
          </w:p>
        </w:tc>
      </w:tr>
      <w:tr w14:paraId="7E54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48267AAC">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30D1369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17</w:t>
            </w:r>
          </w:p>
        </w:tc>
        <w:tc>
          <w:tcPr>
            <w:tcW w:w="3096" w:type="dxa"/>
            <w:tcBorders>
              <w:top w:val="single" w:color="auto" w:sz="4" w:space="0"/>
              <w:left w:val="single" w:color="auto" w:sz="4" w:space="0"/>
              <w:bottom w:val="single" w:color="auto" w:sz="4" w:space="0"/>
              <w:right w:val="single" w:color="auto" w:sz="4" w:space="0"/>
            </w:tcBorders>
            <w:noWrap/>
            <w:vAlign w:val="center"/>
          </w:tcPr>
          <w:p w14:paraId="517E8965">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汉江出境断面水质</w:t>
            </w:r>
          </w:p>
        </w:tc>
        <w:tc>
          <w:tcPr>
            <w:tcW w:w="709" w:type="dxa"/>
            <w:tcBorders>
              <w:top w:val="single" w:color="auto" w:sz="4" w:space="0"/>
              <w:left w:val="single" w:color="auto" w:sz="4" w:space="0"/>
              <w:bottom w:val="single" w:color="auto" w:sz="4" w:space="0"/>
              <w:right w:val="single" w:color="auto" w:sz="4" w:space="0"/>
            </w:tcBorders>
            <w:noWrap/>
            <w:vAlign w:val="center"/>
          </w:tcPr>
          <w:p w14:paraId="7D313185">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类</w:t>
            </w:r>
          </w:p>
        </w:tc>
        <w:tc>
          <w:tcPr>
            <w:tcW w:w="1134" w:type="dxa"/>
            <w:tcBorders>
              <w:top w:val="single" w:color="auto" w:sz="4" w:space="0"/>
              <w:left w:val="single" w:color="auto" w:sz="4" w:space="0"/>
              <w:bottom w:val="single" w:color="auto" w:sz="4" w:space="0"/>
              <w:right w:val="single" w:color="auto" w:sz="4" w:space="0"/>
            </w:tcBorders>
            <w:noWrap/>
            <w:vAlign w:val="center"/>
          </w:tcPr>
          <w:p w14:paraId="3596B3DF">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Ⅱ类</w:t>
            </w:r>
          </w:p>
        </w:tc>
        <w:tc>
          <w:tcPr>
            <w:tcW w:w="1275" w:type="dxa"/>
            <w:tcBorders>
              <w:top w:val="single" w:color="auto" w:sz="4" w:space="0"/>
              <w:left w:val="single" w:color="auto" w:sz="4" w:space="0"/>
              <w:bottom w:val="single" w:color="auto" w:sz="4" w:space="0"/>
              <w:right w:val="single" w:color="auto" w:sz="4" w:space="0"/>
            </w:tcBorders>
            <w:noWrap/>
            <w:vAlign w:val="center"/>
          </w:tcPr>
          <w:p w14:paraId="6DF14188">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Ⅱ类</w:t>
            </w:r>
          </w:p>
        </w:tc>
        <w:tc>
          <w:tcPr>
            <w:tcW w:w="1276" w:type="dxa"/>
            <w:tcBorders>
              <w:top w:val="single" w:color="auto" w:sz="4" w:space="0"/>
              <w:left w:val="single" w:color="auto" w:sz="4" w:space="0"/>
              <w:bottom w:val="single" w:color="auto" w:sz="4" w:space="0"/>
              <w:right w:val="single" w:color="auto" w:sz="4" w:space="0"/>
            </w:tcBorders>
            <w:noWrap/>
            <w:vAlign w:val="center"/>
          </w:tcPr>
          <w:p w14:paraId="1ED4D809">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Ⅱ类</w:t>
            </w:r>
          </w:p>
        </w:tc>
      </w:tr>
      <w:tr w14:paraId="3957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01327975">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2AA8ACAF">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18</w:t>
            </w:r>
          </w:p>
        </w:tc>
        <w:tc>
          <w:tcPr>
            <w:tcW w:w="3096" w:type="dxa"/>
            <w:tcBorders>
              <w:top w:val="single" w:color="auto" w:sz="4" w:space="0"/>
              <w:left w:val="single" w:color="auto" w:sz="4" w:space="0"/>
              <w:bottom w:val="single" w:color="auto" w:sz="4" w:space="0"/>
              <w:right w:val="single" w:color="auto" w:sz="4" w:space="0"/>
            </w:tcBorders>
            <w:noWrap/>
            <w:vAlign w:val="center"/>
          </w:tcPr>
          <w:p w14:paraId="67D8F133">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森林覆盖率</w:t>
            </w:r>
          </w:p>
        </w:tc>
        <w:tc>
          <w:tcPr>
            <w:tcW w:w="709" w:type="dxa"/>
            <w:tcBorders>
              <w:top w:val="single" w:color="auto" w:sz="4" w:space="0"/>
              <w:left w:val="single" w:color="auto" w:sz="4" w:space="0"/>
              <w:bottom w:val="single" w:color="auto" w:sz="4" w:space="0"/>
              <w:right w:val="single" w:color="auto" w:sz="4" w:space="0"/>
            </w:tcBorders>
            <w:noWrap/>
            <w:vAlign w:val="center"/>
          </w:tcPr>
          <w:p w14:paraId="1B2F8F7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500EDC06">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68</w:t>
            </w:r>
          </w:p>
        </w:tc>
        <w:tc>
          <w:tcPr>
            <w:tcW w:w="1275" w:type="dxa"/>
            <w:tcBorders>
              <w:top w:val="single" w:color="auto" w:sz="4" w:space="0"/>
              <w:left w:val="single" w:color="auto" w:sz="4" w:space="0"/>
              <w:bottom w:val="single" w:color="auto" w:sz="4" w:space="0"/>
              <w:right w:val="single" w:color="auto" w:sz="4" w:space="0"/>
            </w:tcBorders>
            <w:noWrap/>
            <w:vAlign w:val="center"/>
          </w:tcPr>
          <w:p w14:paraId="28D3CDC5">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70</w:t>
            </w:r>
          </w:p>
        </w:tc>
        <w:tc>
          <w:tcPr>
            <w:tcW w:w="1276" w:type="dxa"/>
            <w:tcBorders>
              <w:top w:val="single" w:color="auto" w:sz="4" w:space="0"/>
              <w:left w:val="single" w:color="auto" w:sz="4" w:space="0"/>
              <w:bottom w:val="single" w:color="auto" w:sz="4" w:space="0"/>
              <w:right w:val="single" w:color="auto" w:sz="4" w:space="0"/>
            </w:tcBorders>
            <w:noWrap/>
            <w:vAlign w:val="center"/>
          </w:tcPr>
          <w:p w14:paraId="7C307F78">
            <w:pPr>
              <w:overflowPunct w:val="0"/>
              <w:topLinePunct/>
              <w:adjustRightInd w:val="0"/>
              <w:snapToGrid w:val="0"/>
              <w:jc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70</w:t>
            </w:r>
          </w:p>
        </w:tc>
      </w:tr>
      <w:tr w14:paraId="7506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746655B1">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0C7F0B8E">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19</w:t>
            </w:r>
          </w:p>
        </w:tc>
        <w:tc>
          <w:tcPr>
            <w:tcW w:w="3096" w:type="dxa"/>
            <w:tcBorders>
              <w:top w:val="single" w:color="auto" w:sz="4" w:space="0"/>
              <w:left w:val="single" w:color="auto" w:sz="4" w:space="0"/>
              <w:bottom w:val="single" w:color="auto" w:sz="4" w:space="0"/>
              <w:right w:val="single" w:color="auto" w:sz="4" w:space="0"/>
            </w:tcBorders>
            <w:noWrap/>
            <w:vAlign w:val="center"/>
          </w:tcPr>
          <w:p w14:paraId="54A7638D">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城市空气质量优良天数比例</w:t>
            </w:r>
          </w:p>
        </w:tc>
        <w:tc>
          <w:tcPr>
            <w:tcW w:w="709" w:type="dxa"/>
            <w:tcBorders>
              <w:top w:val="single" w:color="auto" w:sz="4" w:space="0"/>
              <w:left w:val="single" w:color="auto" w:sz="4" w:space="0"/>
              <w:bottom w:val="single" w:color="auto" w:sz="4" w:space="0"/>
              <w:right w:val="single" w:color="auto" w:sz="4" w:space="0"/>
            </w:tcBorders>
            <w:noWrap/>
            <w:vAlign w:val="center"/>
          </w:tcPr>
          <w:p w14:paraId="54353174">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1A4F5A31">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94.8</w:t>
            </w:r>
          </w:p>
        </w:tc>
        <w:tc>
          <w:tcPr>
            <w:tcW w:w="1275" w:type="dxa"/>
            <w:tcBorders>
              <w:top w:val="single" w:color="auto" w:sz="4" w:space="0"/>
              <w:left w:val="single" w:color="auto" w:sz="4" w:space="0"/>
              <w:bottom w:val="single" w:color="auto" w:sz="4" w:space="0"/>
              <w:right w:val="single" w:color="auto" w:sz="4" w:space="0"/>
            </w:tcBorders>
            <w:noWrap/>
            <w:vAlign w:val="center"/>
          </w:tcPr>
          <w:p w14:paraId="0C6CE654">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90以上</w:t>
            </w:r>
          </w:p>
        </w:tc>
        <w:tc>
          <w:tcPr>
            <w:tcW w:w="1276" w:type="dxa"/>
            <w:tcBorders>
              <w:top w:val="single" w:color="auto" w:sz="4" w:space="0"/>
              <w:left w:val="single" w:color="auto" w:sz="4" w:space="0"/>
              <w:bottom w:val="single" w:color="auto" w:sz="4" w:space="0"/>
              <w:right w:val="single" w:color="auto" w:sz="4" w:space="0"/>
            </w:tcBorders>
            <w:noWrap/>
            <w:vAlign w:val="center"/>
          </w:tcPr>
          <w:p w14:paraId="77C4F06E">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96.4</w:t>
            </w:r>
          </w:p>
        </w:tc>
      </w:tr>
      <w:tr w14:paraId="136D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26825DA8">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30036148">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20</w:t>
            </w:r>
          </w:p>
        </w:tc>
        <w:tc>
          <w:tcPr>
            <w:tcW w:w="3096" w:type="dxa"/>
            <w:tcBorders>
              <w:top w:val="single" w:color="auto" w:sz="4" w:space="0"/>
              <w:left w:val="single" w:color="auto" w:sz="4" w:space="0"/>
              <w:bottom w:val="single" w:color="auto" w:sz="4" w:space="0"/>
              <w:right w:val="single" w:color="auto" w:sz="4" w:space="0"/>
            </w:tcBorders>
            <w:noWrap/>
            <w:vAlign w:val="center"/>
          </w:tcPr>
          <w:p w14:paraId="0C0BD49E">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中心城区生活垃圾无害化处理率</w:t>
            </w:r>
          </w:p>
        </w:tc>
        <w:tc>
          <w:tcPr>
            <w:tcW w:w="709" w:type="dxa"/>
            <w:tcBorders>
              <w:top w:val="single" w:color="auto" w:sz="4" w:space="0"/>
              <w:left w:val="single" w:color="auto" w:sz="4" w:space="0"/>
              <w:bottom w:val="single" w:color="auto" w:sz="4" w:space="0"/>
              <w:right w:val="single" w:color="auto" w:sz="4" w:space="0"/>
            </w:tcBorders>
            <w:noWrap/>
            <w:vAlign w:val="center"/>
          </w:tcPr>
          <w:p w14:paraId="4079BE0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6816E5D2">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99</w:t>
            </w:r>
          </w:p>
        </w:tc>
        <w:tc>
          <w:tcPr>
            <w:tcW w:w="1275" w:type="dxa"/>
            <w:tcBorders>
              <w:top w:val="single" w:color="auto" w:sz="4" w:space="0"/>
              <w:left w:val="single" w:color="auto" w:sz="4" w:space="0"/>
              <w:bottom w:val="single" w:color="auto" w:sz="4" w:space="0"/>
              <w:right w:val="single" w:color="auto" w:sz="4" w:space="0"/>
            </w:tcBorders>
            <w:noWrap/>
            <w:vAlign w:val="center"/>
          </w:tcPr>
          <w:p w14:paraId="4DD9D27A">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100</w:t>
            </w:r>
          </w:p>
        </w:tc>
        <w:tc>
          <w:tcPr>
            <w:tcW w:w="1276" w:type="dxa"/>
            <w:tcBorders>
              <w:top w:val="single" w:color="auto" w:sz="4" w:space="0"/>
              <w:left w:val="single" w:color="auto" w:sz="4" w:space="0"/>
              <w:bottom w:val="single" w:color="auto" w:sz="4" w:space="0"/>
              <w:right w:val="single" w:color="auto" w:sz="4" w:space="0"/>
            </w:tcBorders>
            <w:noWrap/>
            <w:vAlign w:val="center"/>
          </w:tcPr>
          <w:p w14:paraId="2119B0C9">
            <w:pPr>
              <w:overflowPunct w:val="0"/>
              <w:topLinePunct/>
              <w:adjustRightInd w:val="0"/>
              <w:snapToGrid w:val="0"/>
              <w:jc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100</w:t>
            </w:r>
          </w:p>
        </w:tc>
      </w:tr>
      <w:tr w14:paraId="0F03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restart"/>
            <w:tcBorders>
              <w:top w:val="single" w:color="auto" w:sz="4" w:space="0"/>
              <w:left w:val="single" w:color="auto" w:sz="4" w:space="0"/>
              <w:bottom w:val="single" w:color="auto" w:sz="4" w:space="0"/>
              <w:right w:val="single" w:color="auto" w:sz="4" w:space="0"/>
            </w:tcBorders>
            <w:noWrap/>
            <w:vAlign w:val="center"/>
          </w:tcPr>
          <w:p w14:paraId="1BBE80EE">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民生</w:t>
            </w:r>
          </w:p>
          <w:p w14:paraId="1C65B399">
            <w:pPr>
              <w:overflowPunct w:val="0"/>
              <w:topLinePunct/>
              <w:adjustRightInd w:val="0"/>
              <w:snapToGrid w:val="0"/>
              <w:jc w:val="center"/>
              <w:textAlignment w:val="center"/>
              <w:rPr>
                <w:rFonts w:ascii="宋体" w:hAnsi="宋体"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福祉</w:t>
            </w:r>
          </w:p>
        </w:tc>
        <w:tc>
          <w:tcPr>
            <w:tcW w:w="636" w:type="dxa"/>
            <w:tcBorders>
              <w:top w:val="single" w:color="auto" w:sz="4" w:space="0"/>
              <w:left w:val="single" w:color="auto" w:sz="4" w:space="0"/>
              <w:bottom w:val="single" w:color="auto" w:sz="4" w:space="0"/>
              <w:right w:val="single" w:color="auto" w:sz="4" w:space="0"/>
            </w:tcBorders>
            <w:noWrap/>
            <w:vAlign w:val="center"/>
          </w:tcPr>
          <w:p w14:paraId="62D822B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21</w:t>
            </w:r>
          </w:p>
        </w:tc>
        <w:tc>
          <w:tcPr>
            <w:tcW w:w="3096" w:type="dxa"/>
            <w:tcBorders>
              <w:top w:val="single" w:color="auto" w:sz="4" w:space="0"/>
              <w:left w:val="single" w:color="auto" w:sz="4" w:space="0"/>
              <w:bottom w:val="single" w:color="auto" w:sz="4" w:space="0"/>
              <w:right w:val="single" w:color="auto" w:sz="4" w:space="0"/>
            </w:tcBorders>
            <w:noWrap/>
            <w:vAlign w:val="center"/>
          </w:tcPr>
          <w:p w14:paraId="77D4EB8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城镇常住居民人均可支配收入</w:t>
            </w:r>
          </w:p>
        </w:tc>
        <w:tc>
          <w:tcPr>
            <w:tcW w:w="709" w:type="dxa"/>
            <w:tcBorders>
              <w:top w:val="single" w:color="auto" w:sz="4" w:space="0"/>
              <w:left w:val="single" w:color="auto" w:sz="4" w:space="0"/>
              <w:bottom w:val="single" w:color="auto" w:sz="4" w:space="0"/>
              <w:right w:val="single" w:color="auto" w:sz="4" w:space="0"/>
            </w:tcBorders>
            <w:noWrap/>
            <w:vAlign w:val="center"/>
          </w:tcPr>
          <w:p w14:paraId="4EE65B6A">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元</w:t>
            </w:r>
          </w:p>
        </w:tc>
        <w:tc>
          <w:tcPr>
            <w:tcW w:w="1134" w:type="dxa"/>
            <w:tcBorders>
              <w:top w:val="single" w:color="auto" w:sz="4" w:space="0"/>
              <w:left w:val="single" w:color="auto" w:sz="4" w:space="0"/>
              <w:bottom w:val="single" w:color="auto" w:sz="4" w:space="0"/>
              <w:right w:val="single" w:color="auto" w:sz="4" w:space="0"/>
            </w:tcBorders>
            <w:noWrap/>
            <w:vAlign w:val="center"/>
          </w:tcPr>
          <w:p w14:paraId="62D7D8B8">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28247</w:t>
            </w:r>
          </w:p>
        </w:tc>
        <w:tc>
          <w:tcPr>
            <w:tcW w:w="1275" w:type="dxa"/>
            <w:tcBorders>
              <w:top w:val="single" w:color="auto" w:sz="4" w:space="0"/>
              <w:left w:val="single" w:color="auto" w:sz="4" w:space="0"/>
              <w:bottom w:val="single" w:color="auto" w:sz="4" w:space="0"/>
              <w:right w:val="single" w:color="auto" w:sz="4" w:space="0"/>
            </w:tcBorders>
            <w:noWrap/>
            <w:vAlign w:val="center"/>
          </w:tcPr>
          <w:p w14:paraId="0B781BF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39620</w:t>
            </w:r>
          </w:p>
        </w:tc>
        <w:tc>
          <w:tcPr>
            <w:tcW w:w="1276" w:type="dxa"/>
            <w:tcBorders>
              <w:top w:val="single" w:color="auto" w:sz="4" w:space="0"/>
              <w:left w:val="single" w:color="auto" w:sz="4" w:space="0"/>
              <w:bottom w:val="single" w:color="auto" w:sz="4" w:space="0"/>
              <w:right w:val="single" w:color="auto" w:sz="4" w:space="0"/>
            </w:tcBorders>
            <w:noWrap/>
            <w:vAlign w:val="center"/>
          </w:tcPr>
          <w:p w14:paraId="5529AF30">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37174</w:t>
            </w:r>
          </w:p>
        </w:tc>
      </w:tr>
      <w:tr w14:paraId="7DB2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single" w:color="auto" w:sz="4" w:space="0"/>
              <w:left w:val="single" w:color="auto" w:sz="4" w:space="0"/>
              <w:bottom w:val="single" w:color="auto" w:sz="4" w:space="0"/>
              <w:right w:val="single" w:color="auto" w:sz="4" w:space="0"/>
            </w:tcBorders>
            <w:vAlign w:val="center"/>
          </w:tcPr>
          <w:p w14:paraId="339A4214">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573DF68E">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22</w:t>
            </w:r>
          </w:p>
        </w:tc>
        <w:tc>
          <w:tcPr>
            <w:tcW w:w="3096" w:type="dxa"/>
            <w:tcBorders>
              <w:top w:val="single" w:color="auto" w:sz="4" w:space="0"/>
              <w:left w:val="single" w:color="auto" w:sz="4" w:space="0"/>
              <w:bottom w:val="single" w:color="auto" w:sz="4" w:space="0"/>
              <w:right w:val="single" w:color="auto" w:sz="4" w:space="0"/>
            </w:tcBorders>
            <w:noWrap/>
            <w:vAlign w:val="center"/>
          </w:tcPr>
          <w:p w14:paraId="41DCA7F3">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农村常住居民人均可支配收入</w:t>
            </w:r>
          </w:p>
        </w:tc>
        <w:tc>
          <w:tcPr>
            <w:tcW w:w="709" w:type="dxa"/>
            <w:tcBorders>
              <w:top w:val="single" w:color="auto" w:sz="4" w:space="0"/>
              <w:left w:val="single" w:color="auto" w:sz="4" w:space="0"/>
              <w:bottom w:val="single" w:color="auto" w:sz="4" w:space="0"/>
              <w:right w:val="single" w:color="auto" w:sz="4" w:space="0"/>
            </w:tcBorders>
            <w:noWrap/>
            <w:vAlign w:val="center"/>
          </w:tcPr>
          <w:p w14:paraId="2DCA184F">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元</w:t>
            </w:r>
          </w:p>
        </w:tc>
        <w:tc>
          <w:tcPr>
            <w:tcW w:w="1134" w:type="dxa"/>
            <w:tcBorders>
              <w:top w:val="single" w:color="auto" w:sz="4" w:space="0"/>
              <w:left w:val="single" w:color="auto" w:sz="4" w:space="0"/>
              <w:bottom w:val="single" w:color="auto" w:sz="4" w:space="0"/>
              <w:right w:val="single" w:color="auto" w:sz="4" w:space="0"/>
            </w:tcBorders>
            <w:noWrap/>
            <w:vAlign w:val="center"/>
          </w:tcPr>
          <w:p w14:paraId="11B31119">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11288</w:t>
            </w:r>
          </w:p>
        </w:tc>
        <w:tc>
          <w:tcPr>
            <w:tcW w:w="1275" w:type="dxa"/>
            <w:tcBorders>
              <w:top w:val="single" w:color="auto" w:sz="4" w:space="0"/>
              <w:left w:val="single" w:color="auto" w:sz="4" w:space="0"/>
              <w:bottom w:val="single" w:color="auto" w:sz="4" w:space="0"/>
              <w:right w:val="single" w:color="auto" w:sz="4" w:space="0"/>
            </w:tcBorders>
            <w:noWrap/>
            <w:vAlign w:val="center"/>
          </w:tcPr>
          <w:p w14:paraId="41A22FC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16590</w:t>
            </w:r>
          </w:p>
        </w:tc>
        <w:tc>
          <w:tcPr>
            <w:tcW w:w="1276" w:type="dxa"/>
            <w:tcBorders>
              <w:top w:val="single" w:color="auto" w:sz="4" w:space="0"/>
              <w:left w:val="single" w:color="auto" w:sz="4" w:space="0"/>
              <w:bottom w:val="single" w:color="auto" w:sz="4" w:space="0"/>
              <w:right w:val="single" w:color="auto" w:sz="4" w:space="0"/>
            </w:tcBorders>
            <w:noWrap/>
            <w:vAlign w:val="center"/>
          </w:tcPr>
          <w:p w14:paraId="16C1ECD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16399</w:t>
            </w:r>
          </w:p>
        </w:tc>
      </w:tr>
      <w:tr w14:paraId="0E1F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14E5BE73">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3192AF7B">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23</w:t>
            </w:r>
          </w:p>
        </w:tc>
        <w:tc>
          <w:tcPr>
            <w:tcW w:w="3096" w:type="dxa"/>
            <w:tcBorders>
              <w:top w:val="single" w:color="auto" w:sz="4" w:space="0"/>
              <w:left w:val="single" w:color="auto" w:sz="4" w:space="0"/>
              <w:bottom w:val="single" w:color="auto" w:sz="4" w:space="0"/>
              <w:right w:val="single" w:color="auto" w:sz="4" w:space="0"/>
            </w:tcBorders>
            <w:noWrap/>
            <w:vAlign w:val="center"/>
          </w:tcPr>
          <w:p w14:paraId="3BF38F08">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基本养老保险参保率</w:t>
            </w:r>
          </w:p>
        </w:tc>
        <w:tc>
          <w:tcPr>
            <w:tcW w:w="709" w:type="dxa"/>
            <w:tcBorders>
              <w:top w:val="single" w:color="auto" w:sz="4" w:space="0"/>
              <w:left w:val="single" w:color="auto" w:sz="4" w:space="0"/>
              <w:bottom w:val="single" w:color="auto" w:sz="4" w:space="0"/>
              <w:right w:val="single" w:color="auto" w:sz="4" w:space="0"/>
            </w:tcBorders>
            <w:noWrap/>
            <w:vAlign w:val="center"/>
          </w:tcPr>
          <w:p w14:paraId="1040F65E">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ign w:val="center"/>
          </w:tcPr>
          <w:p w14:paraId="7A54FFAE">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96</w:t>
            </w:r>
          </w:p>
        </w:tc>
        <w:tc>
          <w:tcPr>
            <w:tcW w:w="1275" w:type="dxa"/>
            <w:tcBorders>
              <w:top w:val="single" w:color="auto" w:sz="4" w:space="0"/>
              <w:left w:val="single" w:color="auto" w:sz="4" w:space="0"/>
              <w:bottom w:val="single" w:color="auto" w:sz="4" w:space="0"/>
              <w:right w:val="single" w:color="auto" w:sz="4" w:space="0"/>
            </w:tcBorders>
            <w:noWrap/>
            <w:vAlign w:val="center"/>
          </w:tcPr>
          <w:p w14:paraId="0A538896">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98</w:t>
            </w:r>
          </w:p>
        </w:tc>
        <w:tc>
          <w:tcPr>
            <w:tcW w:w="1276" w:type="dxa"/>
            <w:tcBorders>
              <w:top w:val="single" w:color="auto" w:sz="4" w:space="0"/>
              <w:left w:val="single" w:color="auto" w:sz="4" w:space="0"/>
              <w:bottom w:val="single" w:color="auto" w:sz="4" w:space="0"/>
              <w:right w:val="single" w:color="auto" w:sz="4" w:space="0"/>
            </w:tcBorders>
            <w:noWrap/>
            <w:vAlign w:val="center"/>
          </w:tcPr>
          <w:p w14:paraId="3508C0DC">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r>
      <w:tr w14:paraId="1E64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3516C648">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75A36BC3">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24</w:t>
            </w:r>
          </w:p>
        </w:tc>
        <w:tc>
          <w:tcPr>
            <w:tcW w:w="3096" w:type="dxa"/>
            <w:tcBorders>
              <w:top w:val="single" w:color="auto" w:sz="4" w:space="0"/>
              <w:left w:val="single" w:color="auto" w:sz="4" w:space="0"/>
              <w:bottom w:val="single" w:color="auto" w:sz="4" w:space="0"/>
              <w:right w:val="single" w:color="auto" w:sz="4" w:space="0"/>
            </w:tcBorders>
            <w:noWrap/>
            <w:vAlign w:val="center"/>
          </w:tcPr>
          <w:p w14:paraId="11F365F0">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每千人口3岁以下婴幼儿托位数</w:t>
            </w:r>
          </w:p>
        </w:tc>
        <w:tc>
          <w:tcPr>
            <w:tcW w:w="709" w:type="dxa"/>
            <w:tcBorders>
              <w:top w:val="single" w:color="auto" w:sz="4" w:space="0"/>
              <w:left w:val="single" w:color="auto" w:sz="4" w:space="0"/>
              <w:bottom w:val="single" w:color="auto" w:sz="4" w:space="0"/>
              <w:right w:val="single" w:color="auto" w:sz="4" w:space="0"/>
            </w:tcBorders>
            <w:noWrap/>
            <w:vAlign w:val="center"/>
          </w:tcPr>
          <w:p w14:paraId="585281E3">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c>
          <w:tcPr>
            <w:tcW w:w="1134" w:type="dxa"/>
            <w:tcBorders>
              <w:top w:val="single" w:color="auto" w:sz="4" w:space="0"/>
              <w:left w:val="single" w:color="auto" w:sz="4" w:space="0"/>
              <w:bottom w:val="single" w:color="auto" w:sz="4" w:space="0"/>
              <w:right w:val="single" w:color="auto" w:sz="4" w:space="0"/>
            </w:tcBorders>
            <w:noWrap/>
            <w:vAlign w:val="center"/>
          </w:tcPr>
          <w:p w14:paraId="0D7E8705">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1275" w:type="dxa"/>
            <w:tcBorders>
              <w:top w:val="single" w:color="auto" w:sz="4" w:space="0"/>
              <w:left w:val="single" w:color="auto" w:sz="4" w:space="0"/>
              <w:bottom w:val="single" w:color="auto" w:sz="4" w:space="0"/>
              <w:right w:val="single" w:color="auto" w:sz="4" w:space="0"/>
            </w:tcBorders>
            <w:noWrap/>
            <w:vAlign w:val="center"/>
          </w:tcPr>
          <w:p w14:paraId="288C896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4.6</w:t>
            </w:r>
          </w:p>
        </w:tc>
        <w:tc>
          <w:tcPr>
            <w:tcW w:w="1276" w:type="dxa"/>
            <w:tcBorders>
              <w:top w:val="single" w:color="auto" w:sz="4" w:space="0"/>
              <w:left w:val="single" w:color="auto" w:sz="4" w:space="0"/>
              <w:bottom w:val="single" w:color="auto" w:sz="4" w:space="0"/>
              <w:right w:val="single" w:color="auto" w:sz="4" w:space="0"/>
            </w:tcBorders>
            <w:noWrap/>
            <w:vAlign w:val="center"/>
          </w:tcPr>
          <w:p w14:paraId="55E8F385">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4.84</w:t>
            </w:r>
          </w:p>
        </w:tc>
      </w:tr>
      <w:tr w14:paraId="2A2B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485C9112">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1AADC3F7">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25</w:t>
            </w:r>
          </w:p>
        </w:tc>
        <w:tc>
          <w:tcPr>
            <w:tcW w:w="3096" w:type="dxa"/>
            <w:tcBorders>
              <w:top w:val="single" w:color="auto" w:sz="4" w:space="0"/>
              <w:left w:val="single" w:color="auto" w:sz="4" w:space="0"/>
              <w:bottom w:val="single" w:color="auto" w:sz="4" w:space="0"/>
              <w:right w:val="single" w:color="auto" w:sz="4" w:space="0"/>
            </w:tcBorders>
            <w:noWrap/>
            <w:vAlign w:val="center"/>
          </w:tcPr>
          <w:p w14:paraId="6D0F8B27">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人均预期寿命</w:t>
            </w:r>
          </w:p>
        </w:tc>
        <w:tc>
          <w:tcPr>
            <w:tcW w:w="709" w:type="dxa"/>
            <w:tcBorders>
              <w:top w:val="single" w:color="auto" w:sz="4" w:space="0"/>
              <w:left w:val="single" w:color="auto" w:sz="4" w:space="0"/>
              <w:bottom w:val="single" w:color="auto" w:sz="4" w:space="0"/>
              <w:right w:val="single" w:color="auto" w:sz="4" w:space="0"/>
            </w:tcBorders>
            <w:noWrap/>
            <w:vAlign w:val="center"/>
          </w:tcPr>
          <w:p w14:paraId="3CDFE402">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岁</w:t>
            </w:r>
          </w:p>
        </w:tc>
        <w:tc>
          <w:tcPr>
            <w:tcW w:w="1134" w:type="dxa"/>
            <w:tcBorders>
              <w:top w:val="single" w:color="auto" w:sz="4" w:space="0"/>
              <w:left w:val="single" w:color="auto" w:sz="4" w:space="0"/>
              <w:bottom w:val="single" w:color="auto" w:sz="4" w:space="0"/>
              <w:right w:val="single" w:color="auto" w:sz="4" w:space="0"/>
            </w:tcBorders>
            <w:noWrap/>
            <w:vAlign w:val="center"/>
          </w:tcPr>
          <w:p w14:paraId="31B4A99C">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75.3</w:t>
            </w:r>
          </w:p>
        </w:tc>
        <w:tc>
          <w:tcPr>
            <w:tcW w:w="1275" w:type="dxa"/>
            <w:tcBorders>
              <w:top w:val="single" w:color="auto" w:sz="4" w:space="0"/>
              <w:left w:val="single" w:color="auto" w:sz="4" w:space="0"/>
              <w:bottom w:val="single" w:color="auto" w:sz="4" w:space="0"/>
              <w:right w:val="single" w:color="auto" w:sz="4" w:space="0"/>
            </w:tcBorders>
            <w:noWrap/>
            <w:vAlign w:val="center"/>
          </w:tcPr>
          <w:p w14:paraId="3B95E71E">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77</w:t>
            </w:r>
          </w:p>
        </w:tc>
        <w:tc>
          <w:tcPr>
            <w:tcW w:w="1276" w:type="dxa"/>
            <w:tcBorders>
              <w:top w:val="single" w:color="auto" w:sz="4" w:space="0"/>
              <w:left w:val="single" w:color="auto" w:sz="4" w:space="0"/>
              <w:bottom w:val="single" w:color="auto" w:sz="4" w:space="0"/>
              <w:right w:val="single" w:color="auto" w:sz="4" w:space="0"/>
            </w:tcBorders>
            <w:noWrap/>
            <w:vAlign w:val="center"/>
          </w:tcPr>
          <w:p w14:paraId="0513F85B">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79.01</w:t>
            </w:r>
          </w:p>
        </w:tc>
      </w:tr>
      <w:tr w14:paraId="1030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56D4BC41">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7860F06E">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26</w:t>
            </w:r>
          </w:p>
        </w:tc>
        <w:tc>
          <w:tcPr>
            <w:tcW w:w="3096" w:type="dxa"/>
            <w:tcBorders>
              <w:top w:val="single" w:color="auto" w:sz="4" w:space="0"/>
              <w:left w:val="single" w:color="auto" w:sz="4" w:space="0"/>
              <w:bottom w:val="single" w:color="auto" w:sz="4" w:space="0"/>
              <w:right w:val="single" w:color="auto" w:sz="4" w:space="0"/>
            </w:tcBorders>
            <w:noWrap/>
            <w:vAlign w:val="center"/>
          </w:tcPr>
          <w:p w14:paraId="7B6FD3D2">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劳动年龄人口平均受教育年限</w:t>
            </w:r>
          </w:p>
        </w:tc>
        <w:tc>
          <w:tcPr>
            <w:tcW w:w="709" w:type="dxa"/>
            <w:tcBorders>
              <w:top w:val="single" w:color="auto" w:sz="4" w:space="0"/>
              <w:left w:val="single" w:color="auto" w:sz="4" w:space="0"/>
              <w:bottom w:val="single" w:color="auto" w:sz="4" w:space="0"/>
              <w:right w:val="single" w:color="auto" w:sz="4" w:space="0"/>
            </w:tcBorders>
            <w:noWrap/>
            <w:vAlign w:val="center"/>
          </w:tcPr>
          <w:p w14:paraId="44CF8AE8">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年</w:t>
            </w:r>
          </w:p>
        </w:tc>
        <w:tc>
          <w:tcPr>
            <w:tcW w:w="1134" w:type="dxa"/>
            <w:tcBorders>
              <w:top w:val="single" w:color="auto" w:sz="4" w:space="0"/>
              <w:left w:val="single" w:color="auto" w:sz="4" w:space="0"/>
              <w:bottom w:val="single" w:color="auto" w:sz="4" w:space="0"/>
              <w:right w:val="single" w:color="auto" w:sz="4" w:space="0"/>
            </w:tcBorders>
            <w:noWrap/>
            <w:vAlign w:val="center"/>
          </w:tcPr>
          <w:p w14:paraId="7BACD670">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8.48</w:t>
            </w:r>
          </w:p>
        </w:tc>
        <w:tc>
          <w:tcPr>
            <w:tcW w:w="1275" w:type="dxa"/>
            <w:tcBorders>
              <w:top w:val="single" w:color="auto" w:sz="4" w:space="0"/>
              <w:left w:val="single" w:color="auto" w:sz="4" w:space="0"/>
              <w:bottom w:val="single" w:color="auto" w:sz="4" w:space="0"/>
              <w:right w:val="single" w:color="auto" w:sz="4" w:space="0"/>
            </w:tcBorders>
            <w:noWrap/>
            <w:vAlign w:val="center"/>
          </w:tcPr>
          <w:p w14:paraId="7E835D0A">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10.5</w:t>
            </w:r>
          </w:p>
        </w:tc>
        <w:tc>
          <w:tcPr>
            <w:tcW w:w="1276" w:type="dxa"/>
            <w:tcBorders>
              <w:top w:val="single" w:color="auto" w:sz="4" w:space="0"/>
              <w:left w:val="single" w:color="auto" w:sz="4" w:space="0"/>
              <w:bottom w:val="single" w:color="auto" w:sz="4" w:space="0"/>
              <w:right w:val="single" w:color="auto" w:sz="4" w:space="0"/>
            </w:tcBorders>
            <w:noWrap/>
            <w:vAlign w:val="center"/>
          </w:tcPr>
          <w:p w14:paraId="4CA7089E">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r>
      <w:tr w14:paraId="67E2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74F42A44">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74A6E8E1">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kern w:val="0"/>
                <w:sz w:val="20"/>
                <w:szCs w:val="20"/>
                <w14:textFill>
                  <w14:solidFill>
                    <w14:schemeClr w14:val="tx1"/>
                  </w14:solidFill>
                </w14:textFill>
              </w:rPr>
              <w:t>27</w:t>
            </w:r>
          </w:p>
        </w:tc>
        <w:tc>
          <w:tcPr>
            <w:tcW w:w="3096" w:type="dxa"/>
            <w:tcBorders>
              <w:top w:val="single" w:color="auto" w:sz="4" w:space="0"/>
              <w:left w:val="single" w:color="auto" w:sz="4" w:space="0"/>
              <w:bottom w:val="single" w:color="auto" w:sz="4" w:space="0"/>
              <w:right w:val="single" w:color="auto" w:sz="4" w:space="0"/>
            </w:tcBorders>
            <w:noWrap/>
            <w:vAlign w:val="center"/>
          </w:tcPr>
          <w:p w14:paraId="287F8652">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每千人拥有执业（助理）医师数</w:t>
            </w:r>
          </w:p>
        </w:tc>
        <w:tc>
          <w:tcPr>
            <w:tcW w:w="709" w:type="dxa"/>
            <w:tcBorders>
              <w:top w:val="single" w:color="auto" w:sz="4" w:space="0"/>
              <w:left w:val="single" w:color="auto" w:sz="4" w:space="0"/>
              <w:bottom w:val="single" w:color="auto" w:sz="4" w:space="0"/>
              <w:right w:val="single" w:color="auto" w:sz="4" w:space="0"/>
            </w:tcBorders>
            <w:noWrap/>
            <w:vAlign w:val="center"/>
          </w:tcPr>
          <w:p w14:paraId="60517FF9">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人</w:t>
            </w:r>
          </w:p>
        </w:tc>
        <w:tc>
          <w:tcPr>
            <w:tcW w:w="1134" w:type="dxa"/>
            <w:tcBorders>
              <w:top w:val="single" w:color="auto" w:sz="4" w:space="0"/>
              <w:left w:val="single" w:color="auto" w:sz="4" w:space="0"/>
              <w:bottom w:val="single" w:color="auto" w:sz="4" w:space="0"/>
              <w:right w:val="single" w:color="auto" w:sz="4" w:space="0"/>
            </w:tcBorders>
            <w:noWrap/>
            <w:vAlign w:val="center"/>
          </w:tcPr>
          <w:p w14:paraId="19A2E958">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2.6</w:t>
            </w:r>
          </w:p>
        </w:tc>
        <w:tc>
          <w:tcPr>
            <w:tcW w:w="1275" w:type="dxa"/>
            <w:tcBorders>
              <w:top w:val="single" w:color="auto" w:sz="4" w:space="0"/>
              <w:left w:val="single" w:color="auto" w:sz="4" w:space="0"/>
              <w:bottom w:val="single" w:color="auto" w:sz="4" w:space="0"/>
              <w:right w:val="single" w:color="auto" w:sz="4" w:space="0"/>
            </w:tcBorders>
            <w:noWrap/>
            <w:vAlign w:val="center"/>
          </w:tcPr>
          <w:p w14:paraId="772E68B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2.8</w:t>
            </w:r>
          </w:p>
        </w:tc>
        <w:tc>
          <w:tcPr>
            <w:tcW w:w="1276" w:type="dxa"/>
            <w:tcBorders>
              <w:top w:val="single" w:color="auto" w:sz="4" w:space="0"/>
              <w:left w:val="single" w:color="auto" w:sz="4" w:space="0"/>
              <w:bottom w:val="single" w:color="auto" w:sz="4" w:space="0"/>
              <w:right w:val="single" w:color="auto" w:sz="4" w:space="0"/>
            </w:tcBorders>
            <w:noWrap/>
            <w:vAlign w:val="center"/>
          </w:tcPr>
          <w:p w14:paraId="05216303">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   </w:t>
            </w:r>
          </w:p>
        </w:tc>
      </w:tr>
      <w:tr w14:paraId="1C09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736" w:type="dxa"/>
            <w:vMerge w:val="continue"/>
            <w:tcBorders>
              <w:top w:val="nil"/>
              <w:left w:val="single" w:color="auto" w:sz="4" w:space="0"/>
              <w:bottom w:val="single" w:color="auto" w:sz="4" w:space="0"/>
              <w:right w:val="single" w:color="auto" w:sz="4" w:space="0"/>
            </w:tcBorders>
            <w:vAlign w:val="center"/>
          </w:tcPr>
          <w:p w14:paraId="5B14B115">
            <w:pPr>
              <w:widowControl/>
              <w:jc w:val="left"/>
              <w:rPr>
                <w:rFonts w:ascii="宋体" w:hAnsi="宋体" w:eastAsia="宋体"/>
                <w:b/>
                <w:bCs/>
                <w:color w:val="000000" w:themeColor="text1"/>
                <w:sz w:val="20"/>
                <w:szCs w:val="20"/>
                <w14:textFill>
                  <w14:solidFill>
                    <w14:schemeClr w14:val="tx1"/>
                  </w14:solidFill>
                </w14:textFill>
              </w:rPr>
            </w:pPr>
          </w:p>
        </w:tc>
        <w:tc>
          <w:tcPr>
            <w:tcW w:w="636" w:type="dxa"/>
            <w:tcBorders>
              <w:top w:val="single" w:color="auto" w:sz="4" w:space="0"/>
              <w:left w:val="single" w:color="auto" w:sz="4" w:space="0"/>
              <w:bottom w:val="single" w:color="auto" w:sz="4" w:space="0"/>
              <w:right w:val="single" w:color="auto" w:sz="4" w:space="0"/>
            </w:tcBorders>
            <w:noWrap/>
            <w:vAlign w:val="center"/>
          </w:tcPr>
          <w:p w14:paraId="186EBA7F">
            <w:pPr>
              <w:overflowPunct w:val="0"/>
              <w:topLinePunct/>
              <w:adjustRightInd w:val="0"/>
              <w:snapToGrid w:val="0"/>
              <w:jc w:val="center"/>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28</w:t>
            </w:r>
          </w:p>
        </w:tc>
        <w:tc>
          <w:tcPr>
            <w:tcW w:w="3096" w:type="dxa"/>
            <w:tcBorders>
              <w:top w:val="single" w:color="auto" w:sz="4" w:space="0"/>
              <w:left w:val="single" w:color="auto" w:sz="4" w:space="0"/>
              <w:bottom w:val="single" w:color="auto" w:sz="4" w:space="0"/>
              <w:right w:val="single" w:color="auto" w:sz="4" w:space="0"/>
            </w:tcBorders>
            <w:noWrap/>
            <w:vAlign w:val="center"/>
          </w:tcPr>
          <w:p w14:paraId="52F5CB32">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粮食综合生产能力</w:t>
            </w:r>
          </w:p>
        </w:tc>
        <w:tc>
          <w:tcPr>
            <w:tcW w:w="709" w:type="dxa"/>
            <w:tcBorders>
              <w:top w:val="single" w:color="auto" w:sz="4" w:space="0"/>
              <w:left w:val="single" w:color="auto" w:sz="4" w:space="0"/>
              <w:bottom w:val="single" w:color="auto" w:sz="4" w:space="0"/>
              <w:right w:val="single" w:color="auto" w:sz="4" w:space="0"/>
            </w:tcBorders>
            <w:noWrap/>
            <w:vAlign w:val="center"/>
          </w:tcPr>
          <w:p w14:paraId="4C65F276">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万吨</w:t>
            </w:r>
          </w:p>
        </w:tc>
        <w:tc>
          <w:tcPr>
            <w:tcW w:w="1134" w:type="dxa"/>
            <w:tcBorders>
              <w:top w:val="single" w:color="auto" w:sz="4" w:space="0"/>
              <w:left w:val="single" w:color="auto" w:sz="4" w:space="0"/>
              <w:bottom w:val="single" w:color="auto" w:sz="4" w:space="0"/>
              <w:right w:val="single" w:color="auto" w:sz="4" w:space="0"/>
            </w:tcBorders>
            <w:noWrap/>
            <w:vAlign w:val="center"/>
          </w:tcPr>
          <w:p w14:paraId="5AA9F4E2">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77</w:t>
            </w:r>
          </w:p>
        </w:tc>
        <w:tc>
          <w:tcPr>
            <w:tcW w:w="1275" w:type="dxa"/>
            <w:tcBorders>
              <w:top w:val="single" w:color="auto" w:sz="4" w:space="0"/>
              <w:left w:val="single" w:color="auto" w:sz="4" w:space="0"/>
              <w:bottom w:val="single" w:color="auto" w:sz="4" w:space="0"/>
              <w:right w:val="single" w:color="auto" w:sz="4" w:space="0"/>
            </w:tcBorders>
            <w:noWrap/>
            <w:vAlign w:val="center"/>
          </w:tcPr>
          <w:p w14:paraId="1F16DBF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77</w:t>
            </w:r>
          </w:p>
        </w:tc>
        <w:tc>
          <w:tcPr>
            <w:tcW w:w="1276" w:type="dxa"/>
            <w:tcBorders>
              <w:top w:val="single" w:color="auto" w:sz="4" w:space="0"/>
              <w:left w:val="single" w:color="auto" w:sz="4" w:space="0"/>
              <w:bottom w:val="single" w:color="auto" w:sz="4" w:space="0"/>
              <w:right w:val="single" w:color="auto" w:sz="4" w:space="0"/>
            </w:tcBorders>
            <w:noWrap/>
            <w:vAlign w:val="center"/>
          </w:tcPr>
          <w:p w14:paraId="3D554FF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74</w:t>
            </w:r>
          </w:p>
        </w:tc>
      </w:tr>
      <w:tr w14:paraId="1F2C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8862" w:type="dxa"/>
            <w:gridSpan w:val="7"/>
            <w:tcBorders>
              <w:top w:val="single" w:color="auto" w:sz="4" w:space="0"/>
              <w:left w:val="single" w:color="auto" w:sz="4" w:space="0"/>
              <w:bottom w:val="single" w:color="auto" w:sz="4" w:space="0"/>
              <w:right w:val="single" w:color="auto" w:sz="4" w:space="0"/>
            </w:tcBorders>
            <w:vAlign w:val="center"/>
          </w:tcPr>
          <w:p w14:paraId="78B023F7">
            <w:pPr>
              <w:overflowPunct w:val="0"/>
              <w:topLinePunct/>
              <w:adjustRightInd w:val="0"/>
              <w:snapToGrid w:val="0"/>
              <w:textAlignment w:val="center"/>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注：</w:t>
            </w:r>
            <w:r>
              <w:rPr>
                <w:rFonts w:hint="eastAsia" w:ascii="东文宋体" w:hAnsi="东文宋体" w:eastAsia="东文宋体" w:cs="东文宋体"/>
                <w:color w:val="000000" w:themeColor="text1"/>
                <w:sz w:val="20"/>
                <w:szCs w:val="20"/>
                <w14:textFill>
                  <w14:solidFill>
                    <w14:schemeClr w14:val="tx1"/>
                  </w14:solidFill>
                </w14:textFill>
              </w:rPr>
              <w:t>①</w:t>
            </w:r>
            <w:r>
              <w:rPr>
                <w:rFonts w:hint="eastAsia" w:ascii="宋体" w:hAnsi="宋体" w:eastAsia="宋体"/>
                <w:color w:val="000000" w:themeColor="text1"/>
                <w:sz w:val="20"/>
                <w:szCs w:val="20"/>
                <w14:textFill>
                  <w14:solidFill>
                    <w14:schemeClr w14:val="tx1"/>
                  </w14:solidFill>
                </w14:textFill>
              </w:rPr>
              <w:t>【】表示五年累计数；②</w:t>
            </w:r>
            <w:r>
              <w:rPr>
                <w:rFonts w:hint="eastAsia" w:ascii="东文宋体" w:hAnsi="东文宋体" w:eastAsia="东文宋体" w:cs="东文宋体"/>
                <w:color w:val="000000" w:themeColor="text1"/>
                <w:sz w:val="20"/>
                <w:szCs w:val="20"/>
                <w14:textFill>
                  <w14:solidFill>
                    <w14:schemeClr w14:val="tx1"/>
                  </w14:solidFill>
                </w14:textFill>
              </w:rPr>
              <w:t>2025年部分数值正在更新中。</w:t>
            </w:r>
          </w:p>
        </w:tc>
      </w:tr>
    </w:tbl>
    <w:p w14:paraId="5D7273FB">
      <w:pPr>
        <w:pStyle w:val="6"/>
        <w:overflowPunct w:val="0"/>
        <w:topLinePunct/>
        <w:spacing w:before="312" w:beforeLines="100" w:after="312" w:afterLines="100"/>
        <w:rPr>
          <w:color w:val="000000" w:themeColor="text1"/>
          <w14:textFill>
            <w14:solidFill>
              <w14:schemeClr w14:val="tx1"/>
            </w14:solidFill>
          </w14:textFill>
        </w:rPr>
      </w:pPr>
      <w:bookmarkStart w:id="3" w:name="_Toc29348"/>
      <w:r>
        <w:rPr>
          <w:rFonts w:hint="eastAsia"/>
          <w:color w:val="000000" w:themeColor="text1"/>
          <w14:textFill>
            <w14:solidFill>
              <w14:schemeClr w14:val="tx1"/>
            </w14:solidFill>
          </w14:textFill>
        </w:rPr>
        <w:t>第二章 面临环境</w:t>
      </w:r>
      <w:bookmarkEnd w:id="3"/>
    </w:p>
    <w:p w14:paraId="451619BA">
      <w:pPr>
        <w:overflowPunct w:val="0"/>
        <w:topLinePunct/>
        <w:adjustRightInd w:val="0"/>
        <w:snapToGrid w:val="0"/>
        <w:spacing w:line="560" w:lineRule="exact"/>
        <w:ind w:firstLine="640"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十五五”时期，在基本实现社会主义现代化进程中具有承前启后的重要地位，谋划和推动安康高质量发展，必须把思想和行动统一到党中央对发展环境和形势的科学判断上来，统一到省委对谱写陕西新篇、争做西部示范的系统部署上来，准确把握国际格局的战略性调整、科技产业的突破性变革、影响全局的拐点性变化、自身发展的阶段性特征，立足为基本实现社会主义现代化夯实基础、全面发力，胸怀大局、把握大势、着眼大事，应势而谋、顺势而为、积势而发，凝心聚力推动各项事业开创新局面、再上新台阶，持续为谱写陕西新篇、争做西部示范增光添彩。</w:t>
      </w:r>
    </w:p>
    <w:p w14:paraId="1D22CF4F">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（一）从我国发展的战略主动中精准把握大势。</w:t>
      </w:r>
      <w:r>
        <w:rPr>
          <w:rFonts w:hint="eastAsia" w:ascii="仿宋_GB2312" w:eastAsia="仿宋_GB2312"/>
          <w:color w:val="000000" w:themeColor="text1"/>
          <w:sz w:val="32"/>
          <w:szCs w:val="32"/>
          <w14:textFill>
            <w14:solidFill>
              <w14:schemeClr w14:val="tx1"/>
            </w14:solidFill>
          </w14:textFill>
        </w:rPr>
        <w:t>在习近平总书记的战略引领下，我国持续书写经济快速发展和社会长期稳定两大奇迹新篇章，经济长期向好的支撑条件和基本趋势没有改变，中国特色社会主义制度优势、超大规模市场优势、完整产业体系优势、丰富人才资源优势更加彰显，百年变局必将朝着于我国更加有利的方向演进。必须保持历史自信和战略定力，更加坚定地紧跟总书记、奋进新征程、扎实推进中国式现代化，更加主动融入和服务构建新发展格局</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w:t>
      </w:r>
    </w:p>
    <w:p w14:paraId="1EDA1951">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（二）从中省战略的辐射带动中敏锐捕捉机遇。</w:t>
      </w:r>
      <w:r>
        <w:rPr>
          <w:rFonts w:hint="eastAsia" w:ascii="仿宋_GB2312" w:eastAsia="仿宋_GB2312"/>
          <w:color w:val="000000" w:themeColor="text1"/>
          <w:sz w:val="32"/>
          <w:szCs w:val="32"/>
          <w14:textFill>
            <w14:solidFill>
              <w14:schemeClr w14:val="tx1"/>
            </w14:solidFill>
          </w14:textFill>
        </w:rPr>
        <w:t>国家扎实推进高质量共建“一带一路”，着力推进西部大开发形成新格局、建设西部陆海新通道，持续推动长江经济带等区域协调发展，加快建设全国统一大市场，分层分类帮扶欠发达地区；省委、省政府致力推动关中陕北陕南联动互补、协同升级，实施陕南绿色循环发展倍增计划，支持陕南三市建设生态城市、秦巴（汉江）生态经济走廊和休闲旅游度假康养区，支持安康建设汉江生态经济带重要节点城市，历史机遇、战略机遇、政策机遇多重叠加。必须开阔思维眼界，加强前瞻研判，统筹好稳与进、立与破、内与外、当前与长远的关系，抓好战略对接、政策衔接、项目承接，以勇立潮头、争当时代弄潮儿的志向和气魄抢占发展制高点、拓展发展新空间</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w:t>
      </w:r>
    </w:p>
    <w:p w14:paraId="03396EE9">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（三）从长期积累的厚实支撑中放大比较优势。</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近年来，我市</w:t>
      </w:r>
      <w:r>
        <w:rPr>
          <w:rFonts w:hint="eastAsia" w:ascii="仿宋_GB2312" w:eastAsia="仿宋_GB2312"/>
          <w:color w:val="000000" w:themeColor="text1"/>
          <w:sz w:val="32"/>
          <w:szCs w:val="32"/>
          <w14:textFill>
            <w14:solidFill>
              <w14:schemeClr w14:val="tx1"/>
            </w14:solidFill>
          </w14:textFill>
        </w:rPr>
        <w:t>高质量发展现代化建设的思路举措愈加明晰、政策体系不断健全，各项事业全面进步，依托独特生态、区位</w:t>
      </w:r>
      <w:r>
        <w:rPr>
          <w:rFonts w:ascii="仿宋_GB2312" w:eastAsia="仿宋_GB2312"/>
          <w:color w:val="000000" w:themeColor="text1"/>
          <w:sz w:val="32"/>
          <w:szCs w:val="32"/>
          <w14:textFill>
            <w14:solidFill>
              <w14:schemeClr w14:val="tx1"/>
            </w14:solidFill>
          </w14:textFill>
        </w:rPr>
        <w:t>、文化</w:t>
      </w:r>
      <w:r>
        <w:rPr>
          <w:rFonts w:hint="eastAsia" w:ascii="仿宋_GB2312" w:hAnsi="Times New Roman" w:eastAsia="仿宋_GB2312" w:cs="Times New Roman"/>
          <w:color w:val="000000" w:themeColor="text1"/>
          <w:sz w:val="32"/>
          <w:szCs w:val="32"/>
          <w14:textFill>
            <w14:solidFill>
              <w14:schemeClr w14:val="tx1"/>
            </w14:solidFill>
          </w14:textFill>
        </w:rPr>
        <w:t>三大优势，</w:t>
      </w:r>
      <w:r>
        <w:rPr>
          <w:rFonts w:hint="eastAsia" w:ascii="仿宋_GB2312" w:eastAsia="仿宋_GB2312"/>
          <w:color w:val="000000" w:themeColor="text1"/>
          <w:sz w:val="32"/>
          <w:szCs w:val="32"/>
          <w14:textFill>
            <w14:solidFill>
              <w14:schemeClr w14:val="tx1"/>
            </w14:solidFill>
          </w14:textFill>
        </w:rPr>
        <w:t>做好“硒”“水”“</w:t>
      </w:r>
      <w:r>
        <w:rPr>
          <w:rFonts w:hint="eastAsia" w:ascii="仿宋_GB2312" w:hAnsi="Times New Roman" w:eastAsia="仿宋_GB2312" w:cs="Times New Roman"/>
          <w:color w:val="000000" w:themeColor="text1"/>
          <w:sz w:val="32"/>
          <w:szCs w:val="32"/>
          <w14:textFill>
            <w14:solidFill>
              <w14:schemeClr w14:val="tx1"/>
            </w14:solidFill>
          </w14:textFill>
        </w:rPr>
        <w:t>林”“游”四篇文章，提升生态产品价值转化效率，发展壮大富民产业、特色产业、专精产业，</w:t>
      </w:r>
      <w:r>
        <w:rPr>
          <w:rFonts w:hint="eastAsia" w:ascii="仿宋_GB2312" w:eastAsia="仿宋_GB2312"/>
          <w:color w:val="000000" w:themeColor="text1"/>
          <w:sz w:val="32"/>
          <w:szCs w:val="32"/>
          <w14:textFill>
            <w14:solidFill>
              <w14:schemeClr w14:val="tx1"/>
            </w14:solidFill>
          </w14:textFill>
        </w:rPr>
        <w:t>赢得“人无我有”“人有我优”的核心竞争力前景可期。必须以更加有力的主动作为，不断集成优势、放大优势，聚焦优势领域固本强基，深耕优势赛道提质增效，带动经济社会发展纵向提占比、横向有进位、整体上台阶</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w:t>
      </w:r>
    </w:p>
    <w:p w14:paraId="11DEC67A">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（四）从当前承压的现实挑战中深挖动能潜力。</w:t>
      </w:r>
      <w:r>
        <w:rPr>
          <w:rFonts w:hint="eastAsia" w:ascii="仿宋_GB2312" w:hAnsi="仿宋_GB2312" w:eastAsia="仿宋_GB2312" w:cs="仿宋_GB2312"/>
          <w:color w:val="000000" w:themeColor="text1"/>
          <w:sz w:val="32"/>
          <w:szCs w:val="32"/>
          <w14:textFill>
            <w14:solidFill>
              <w14:schemeClr w14:val="tx1"/>
            </w14:solidFill>
          </w14:textFill>
        </w:rPr>
        <w:t>我</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市</w:t>
      </w:r>
      <w:r>
        <w:rPr>
          <w:rFonts w:hint="eastAsia" w:ascii="仿宋_GB2312" w:eastAsia="仿宋_GB2312"/>
          <w:color w:val="000000" w:themeColor="text1"/>
          <w:sz w:val="32"/>
          <w:szCs w:val="32"/>
          <w14:textFill>
            <w14:solidFill>
              <w14:schemeClr w14:val="tx1"/>
            </w14:solidFill>
          </w14:textFill>
        </w:rPr>
        <w:t>“十四五”的显著成就为未来发展奠定了坚实基础，但欠发达的基本市情尚未根本改变，重点产业链条不长、科创能力有待提升、新质动能培育不足，影响经济质的有效提升和量的合理增长；外贸形势波动对扩大对外开放造成不确定性，高铁开通带来“虹吸效应”考验，人口结构变化、劳动力外流影响人力资源保障与社会发展活力；就业增收、公共服务、生态治理和安全稳定等方面还有薄弱环节，这些既是短板弱项，也是潜力所在。必须以更强烈的历史主动克难关、战风险、迎挑战，久久为功巩固拓展优势、破除瓶颈制约、补强短板弱项，以“人一之、我十之”的拼劲闯劲不断提高发展质量和韧性，奋力谱写在中国式现代化道路上聚力建设幸福安康崭新篇章</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w:t>
      </w:r>
    </w:p>
    <w:p w14:paraId="454F256C">
      <w:pPr>
        <w:pStyle w:val="6"/>
        <w:overflowPunct w:val="0"/>
        <w:topLinePunct/>
        <w:spacing w:before="312" w:beforeLines="100" w:after="312" w:afterLines="100"/>
        <w:rPr>
          <w:color w:val="000000" w:themeColor="text1"/>
          <w14:textFill>
            <w14:solidFill>
              <w14:schemeClr w14:val="tx1"/>
            </w14:solidFill>
          </w14:textFill>
        </w:rPr>
      </w:pPr>
      <w:bookmarkStart w:id="4" w:name="_Toc4508"/>
      <w:r>
        <w:rPr>
          <w:rFonts w:hint="eastAsia"/>
          <w:color w:val="000000" w:themeColor="text1"/>
          <w14:textFill>
            <w14:solidFill>
              <w14:schemeClr w14:val="tx1"/>
            </w14:solidFill>
          </w14:textFill>
        </w:rPr>
        <w:t>第三章 总体要求</w:t>
      </w:r>
      <w:bookmarkEnd w:id="4"/>
    </w:p>
    <w:p w14:paraId="50C48247">
      <w:pPr>
        <w:overflowPunct w:val="0"/>
        <w:topLinePunct/>
        <w:snapToGrid w:val="0"/>
        <w:spacing w:line="560" w:lineRule="exact"/>
        <w:ind w:firstLine="640"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坚持马克思列宁主义、毛泽东思想、邓小平理论、“三个代表”重要思想、科学发展观，全面贯彻习近平新时代中国特色社会主义思想，深入贯彻党的二十大和二十届历次全会精神，深入落实习近平总书记历次来陕考察重要讲话重要指示，贯通落实“五个扎实”“五项要求”“四个着力”，完整准确全面贯彻新发展理念，积极融入和服务构建新发展格局，紧扣省委赋予的“建设汉江生态经济带重要节点城市”科学定位，锚定高质量发展“五个坚持”思路目标，坚持稳中求进工作总基调，坚持以经济建设为中心，以推动高质量发展为主题，以改革创新为根本动力，以满足人民日益增长的美好生活需要为根本目的，以全面从严治党为根本保障，深入开展高质量项目推进年、营商环境突破年、干部作风能力提升年“三个年”活动，大力发展县域经济、民营经济、开放型经济、数字经济，</w:t>
      </w:r>
      <w:r>
        <w:rPr>
          <w:rFonts w:hint="eastAsia" w:ascii="仿宋_GB2312" w:hAnsi="楷体_GB2312" w:eastAsia="仿宋_GB2312" w:cs="楷体_GB2312"/>
          <w:color w:val="000000" w:themeColor="text1"/>
          <w:sz w:val="32"/>
          <w:szCs w:val="32"/>
          <w14:textFill>
            <w14:solidFill>
              <w14:schemeClr w14:val="tx1"/>
            </w14:solidFill>
          </w14:textFill>
        </w:rPr>
        <w:t>协同发展园区经济、总部经济、品牌经济，</w:t>
      </w:r>
      <w:r>
        <w:rPr>
          <w:rFonts w:hint="eastAsia" w:ascii="仿宋_GB2312" w:eastAsia="仿宋_GB2312"/>
          <w:color w:val="000000" w:themeColor="text1"/>
          <w:sz w:val="32"/>
          <w:szCs w:val="32"/>
          <w14:textFill>
            <w14:solidFill>
              <w14:schemeClr w14:val="tx1"/>
            </w14:solidFill>
          </w14:textFill>
        </w:rPr>
        <w:t>加快建设生态强市、教育强市、人才强市、文化强市，统筹推进生态经济先行区、生态文明建设示范区、城乡融合发展样板区、综合交通物流枢纽、社会治理现代化先进市建设，打造陕西向南开放“桥头堡”，坚定不移走生态优先、绿色升级之路，不遗余力发展富民产业、特色产业、专精产业，推动经济实现质的有效提升和量的合理增长，确保在中国式现代化道路上聚力建设幸福安康取得决定性进展</w:t>
      </w:r>
      <w:r>
        <w:rPr>
          <w:rFonts w:hint="eastAsia" w:ascii="仿宋_GB2312" w:hAnsi="方正仿宋_GB2312" w:eastAsia="仿宋_GB2312" w:cs="方正仿宋_GB2312"/>
          <w:color w:val="000000" w:themeColor="text1"/>
          <w:sz w:val="32"/>
          <w:szCs w:val="24"/>
          <w14:textFill>
            <w14:solidFill>
              <w14:schemeClr w14:val="tx1"/>
            </w14:solidFill>
          </w14:textFill>
        </w:rPr>
        <w:t>。</w:t>
      </w:r>
    </w:p>
    <w:p w14:paraId="396BD6AC">
      <w:pPr>
        <w:pStyle w:val="26"/>
        <w:spacing w:line="560" w:lineRule="exact"/>
        <w:ind w:firstLine="640"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仿宋_GB2312" w:hAnsi="方正仿宋_GB2312" w:eastAsia="仿宋_GB2312" w:cs="方正仿宋_GB2312"/>
          <w:color w:val="000000" w:themeColor="text1"/>
          <w:sz w:val="32"/>
          <w:szCs w:val="24"/>
          <w14:textFill>
            <w14:solidFill>
              <w14:schemeClr w14:val="tx1"/>
            </w14:solidFill>
          </w14:textFill>
        </w:rPr>
        <w:t>“十五五”时期全市经济社会发展，要遵循以下原则：</w:t>
      </w:r>
    </w:p>
    <w:p w14:paraId="65BC6BFC">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Times New Roman" w:hAnsi="Times New Roman" w:eastAsia="楷体_GB2312" w:cs="Times New Roman"/>
          <w:b/>
          <w:bCs/>
          <w:color w:val="000000" w:themeColor="text1"/>
          <w:sz w:val="32"/>
          <w:szCs w:val="32"/>
          <w14:textFill>
            <w14:solidFill>
              <w14:schemeClr w14:val="tx1"/>
            </w14:solidFill>
          </w14:textFill>
        </w:rPr>
        <w:t>坚持党的全面领导。</w:t>
      </w:r>
      <w:r>
        <w:rPr>
          <w:rFonts w:hint="eastAsia" w:ascii="仿宋_GB2312" w:eastAsia="仿宋_GB2312"/>
          <w:color w:val="000000" w:themeColor="text1"/>
          <w:sz w:val="32"/>
          <w:szCs w:val="32"/>
          <w14:textFill>
            <w14:solidFill>
              <w14:schemeClr w14:val="tx1"/>
            </w14:solidFill>
          </w14:textFill>
        </w:rPr>
        <w:t>坚决</w:t>
      </w:r>
      <w:r>
        <w:rPr>
          <w:rFonts w:hint="eastAsia" w:ascii="仿宋_GB2312" w:hAnsi="仿宋_GB2312" w:eastAsia="仿宋_GB2312" w:cs="仿宋_GB2312"/>
          <w:color w:val="000000" w:themeColor="text1"/>
          <w:sz w:val="32"/>
          <w:szCs w:val="32"/>
          <w14:textFill>
            <w14:solidFill>
              <w14:schemeClr w14:val="tx1"/>
            </w14:solidFill>
          </w14:textFill>
        </w:rPr>
        <w:t>维护</w:t>
      </w:r>
      <w:r>
        <w:rPr>
          <w:rFonts w:ascii="仿宋_GB2312" w:hAnsi="仿宋_GB2312" w:eastAsia="仿宋_GB2312" w:cs="仿宋_GB2312"/>
          <w:color w:val="000000" w:themeColor="text1"/>
          <w:sz w:val="32"/>
          <w:szCs w:val="32"/>
          <w14:textFill>
            <w14:solidFill>
              <w14:schemeClr w14:val="tx1"/>
            </w14:solidFill>
          </w14:textFill>
        </w:rPr>
        <w:t>党中央</w:t>
      </w:r>
      <w:r>
        <w:rPr>
          <w:rFonts w:hint="eastAsia" w:ascii="仿宋_GB2312" w:hAnsi="仿宋_GB2312" w:eastAsia="仿宋_GB2312" w:cs="仿宋_GB2312"/>
          <w:color w:val="000000" w:themeColor="text1"/>
          <w:sz w:val="32"/>
          <w:szCs w:val="32"/>
          <w14:textFill>
            <w14:solidFill>
              <w14:schemeClr w14:val="tx1"/>
            </w14:solidFill>
          </w14:textFill>
        </w:rPr>
        <w:t>权威和</w:t>
      </w:r>
      <w:r>
        <w:rPr>
          <w:rFonts w:ascii="仿宋_GB2312" w:hAnsi="仿宋_GB2312" w:eastAsia="仿宋_GB2312" w:cs="仿宋_GB2312"/>
          <w:color w:val="000000" w:themeColor="text1"/>
          <w:sz w:val="32"/>
          <w:szCs w:val="32"/>
          <w14:textFill>
            <w14:solidFill>
              <w14:schemeClr w14:val="tx1"/>
            </w14:solidFill>
          </w14:textFill>
        </w:rPr>
        <w:t>集中</w:t>
      </w:r>
      <w:r>
        <w:rPr>
          <w:rFonts w:hint="eastAsia" w:ascii="仿宋_GB2312" w:hAnsi="仿宋_GB2312" w:eastAsia="仿宋_GB2312" w:cs="仿宋_GB2312"/>
          <w:color w:val="000000" w:themeColor="text1"/>
          <w:sz w:val="32"/>
          <w:szCs w:val="32"/>
          <w14:textFill>
            <w14:solidFill>
              <w14:schemeClr w14:val="tx1"/>
            </w14:solidFill>
          </w14:textFill>
        </w:rPr>
        <w:t>统一</w:t>
      </w:r>
      <w:r>
        <w:rPr>
          <w:rFonts w:ascii="仿宋_GB2312" w:hAnsi="仿宋_GB2312" w:eastAsia="仿宋_GB2312" w:cs="仿宋_GB2312"/>
          <w:color w:val="000000" w:themeColor="text1"/>
          <w:sz w:val="32"/>
          <w:szCs w:val="32"/>
          <w14:textFill>
            <w14:solidFill>
              <w14:schemeClr w14:val="tx1"/>
            </w14:solidFill>
          </w14:textFill>
        </w:rPr>
        <w:t>领导，</w:t>
      </w:r>
      <w:r>
        <w:rPr>
          <w:rFonts w:hint="eastAsia" w:ascii="仿宋_GB2312" w:hAnsi="仿宋_GB2312" w:eastAsia="仿宋_GB2312" w:cs="仿宋_GB2312"/>
          <w:color w:val="000000" w:themeColor="text1"/>
          <w:sz w:val="32"/>
          <w:szCs w:val="32"/>
          <w14:textFill>
            <w14:solidFill>
              <w14:schemeClr w14:val="tx1"/>
            </w14:solidFill>
          </w14:textFill>
        </w:rPr>
        <w:t>坚持和完善党委领导经济社会发展的体制机制，把党的领导贯穿经济社会发展各方面全过程，为高质量发展现代化建设提供根本保证。</w:t>
      </w:r>
    </w:p>
    <w:p w14:paraId="33962539">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Times New Roman" w:hAnsi="Times New Roman" w:eastAsia="楷体_GB2312" w:cs="Times New Roman"/>
          <w:b/>
          <w:bCs/>
          <w:color w:val="000000" w:themeColor="text1"/>
          <w:sz w:val="32"/>
          <w:szCs w:val="32"/>
          <w14:textFill>
            <w14:solidFill>
              <w14:schemeClr w14:val="tx1"/>
            </w14:solidFill>
          </w14:textFill>
        </w:rPr>
        <w:t>坚持以人民为中心。</w:t>
      </w:r>
      <w:r>
        <w:rPr>
          <w:rFonts w:hint="eastAsia" w:ascii="仿宋_GB2312" w:hAnsi="仿宋_GB2312" w:eastAsia="仿宋_GB2312" w:cs="仿宋_GB2312"/>
          <w:color w:val="000000" w:themeColor="text1"/>
          <w:sz w:val="32"/>
          <w:szCs w:val="32"/>
          <w14:textFill>
            <w14:solidFill>
              <w14:schemeClr w14:val="tx1"/>
            </w14:solidFill>
          </w14:textFill>
        </w:rPr>
        <w:t>始终把增进民生福祉作为根本出发点和落脚点，注重在发展中保障和改善民生，在满足民生需求中拓展发展空间，让现代化建设成果更多更公平惠及全体人民。</w:t>
      </w:r>
    </w:p>
    <w:p w14:paraId="4998CFC1">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Times New Roman" w:hAnsi="Times New Roman" w:eastAsia="楷体_GB2312" w:cs="Times New Roman"/>
          <w:b/>
          <w:bCs/>
          <w:color w:val="000000" w:themeColor="text1"/>
          <w:sz w:val="32"/>
          <w:szCs w:val="32"/>
          <w14:textFill>
            <w14:solidFill>
              <w14:schemeClr w14:val="tx1"/>
            </w14:solidFill>
          </w14:textFill>
        </w:rPr>
        <w:t>坚持绿色循环发展。</w:t>
      </w:r>
      <w:r>
        <w:rPr>
          <w:rFonts w:hint="eastAsia" w:ascii="仿宋_GB2312" w:eastAsia="仿宋_GB2312"/>
          <w:color w:val="000000" w:themeColor="text1"/>
          <w:sz w:val="32"/>
          <w:szCs w:val="32"/>
          <w14:textFill>
            <w14:solidFill>
              <w14:schemeClr w14:val="tx1"/>
            </w14:solidFill>
          </w14:textFill>
        </w:rPr>
        <w:t>完整准确全面贯彻新发展理念</w:t>
      </w:r>
      <w:r>
        <w:rPr>
          <w:rFonts w:hint="eastAsia" w:ascii="仿宋_GB2312" w:hAnsi="仿宋_GB2312" w:eastAsia="仿宋_GB2312" w:cs="仿宋_GB2312"/>
          <w:color w:val="000000" w:themeColor="text1"/>
          <w:sz w:val="32"/>
          <w:szCs w:val="32"/>
          <w14:textFill>
            <w14:solidFill>
              <w14:schemeClr w14:val="tx1"/>
            </w14:solidFill>
          </w14:textFill>
        </w:rPr>
        <w:t>，聚力以绿色循环发展擦亮高质量发展的底色，强化创新驱动引领、高质量项目支撑、新型城镇化推动、乡村振兴助力、安全底线保障，因地制宜发展新质生产力，切实把生态优势转化为高质量发展胜势。</w:t>
      </w:r>
    </w:p>
    <w:p w14:paraId="3227A971">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Times New Roman" w:hAnsi="Times New Roman" w:eastAsia="楷体_GB2312" w:cs="Times New Roman"/>
          <w:b/>
          <w:bCs/>
          <w:color w:val="000000" w:themeColor="text1"/>
          <w:sz w:val="32"/>
          <w:szCs w:val="32"/>
          <w14:textFill>
            <w14:solidFill>
              <w14:schemeClr w14:val="tx1"/>
            </w14:solidFill>
          </w14:textFill>
        </w:rPr>
        <w:t>坚持深化改革开放。</w:t>
      </w:r>
      <w:r>
        <w:rPr>
          <w:rFonts w:hint="eastAsia" w:ascii="仿宋_GB2312" w:hAnsi="仿宋_GB2312" w:eastAsia="仿宋_GB2312" w:cs="仿宋_GB2312"/>
          <w:color w:val="000000" w:themeColor="text1"/>
          <w:sz w:val="32"/>
          <w:szCs w:val="32"/>
          <w14:textFill>
            <w14:solidFill>
              <w14:schemeClr w14:val="tx1"/>
            </w14:solidFill>
          </w14:textFill>
        </w:rPr>
        <w:t>紧紧围绕高质量发展现代化建设推进深层次改革、扩大高水平开放，更加注重改革系统集成、开放高效协同，着力突破体制机制障碍、打通内外循环堵点，充分激发全社会创新创造活力。</w:t>
      </w:r>
    </w:p>
    <w:p w14:paraId="35373BC3">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ascii="Times New Roman" w:hAnsi="Times New Roman" w:eastAsia="楷体_GB2312" w:cs="Times New Roman"/>
          <w:b/>
          <w:bCs/>
          <w:color w:val="000000" w:themeColor="text1"/>
          <w:sz w:val="32"/>
          <w:szCs w:val="32"/>
          <w14:textFill>
            <w14:solidFill>
              <w14:schemeClr w14:val="tx1"/>
            </w14:solidFill>
          </w14:textFill>
        </w:rPr>
        <w:t>——</w:t>
      </w:r>
      <w:r>
        <w:rPr>
          <w:rFonts w:hint="eastAsia" w:ascii="Times New Roman" w:hAnsi="Times New Roman" w:eastAsia="楷体_GB2312" w:cs="Times New Roman"/>
          <w:b/>
          <w:bCs/>
          <w:color w:val="000000" w:themeColor="text1"/>
          <w:sz w:val="32"/>
          <w:szCs w:val="32"/>
          <w14:textFill>
            <w14:solidFill>
              <w14:schemeClr w14:val="tx1"/>
            </w14:solidFill>
          </w14:textFill>
        </w:rPr>
        <w:t>坚持有效市场和有为政府相结合。</w:t>
      </w:r>
      <w:r>
        <w:rPr>
          <w:rFonts w:hint="eastAsia" w:ascii="仿宋_GB2312" w:hAnsi="仿宋_GB2312" w:eastAsia="仿宋_GB2312" w:cs="仿宋_GB2312"/>
          <w:color w:val="000000" w:themeColor="text1"/>
          <w:sz w:val="32"/>
          <w:szCs w:val="32"/>
          <w14:textFill>
            <w14:solidFill>
              <w14:schemeClr w14:val="tx1"/>
            </w14:solidFill>
          </w14:textFill>
        </w:rPr>
        <w:t>充分发挥市场在资源配置中的决定性作用，更好发挥政府作用，以项目建设和招商引资组织经济工作，建设法治经济、信用经济，积极主动融入和服务全国统一大市场建设。</w:t>
      </w:r>
    </w:p>
    <w:p w14:paraId="37809DAA">
      <w:pPr>
        <w:overflowPunct w:val="0"/>
        <w:spacing w:line="560" w:lineRule="exact"/>
        <w:ind w:firstLine="643" w:firstLineChars="200"/>
        <w:rPr>
          <w:rFonts w:ascii="仿宋_GB2312" w:hAnsi="仿宋_GB2312" w:eastAsia="仿宋_GB2312" w:cs="仿宋_GB2312"/>
          <w:color w:val="000000" w:themeColor="text1"/>
          <w:sz w:val="32"/>
          <w:szCs w:val="24"/>
          <w14:textFill>
            <w14:solidFill>
              <w14:schemeClr w14:val="tx1"/>
            </w14:solidFill>
          </w14:textFill>
        </w:rPr>
      </w:pPr>
      <w:r>
        <w:rPr>
          <w:rFonts w:ascii="Times New Roman" w:hAnsi="Times New Roman" w:eastAsia="楷体_GB2312" w:cs="Times New Roman"/>
          <w:b/>
          <w:bCs/>
          <w:color w:val="000000" w:themeColor="text1"/>
          <w:sz w:val="32"/>
          <w:szCs w:val="32"/>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坚持统筹发展和安全。</w:t>
      </w:r>
      <w:r>
        <w:rPr>
          <w:rFonts w:hint="eastAsia" w:ascii="仿宋_GB2312" w:hAnsi="仿宋_GB2312" w:eastAsia="仿宋_GB2312" w:cs="仿宋_GB2312"/>
          <w:color w:val="000000" w:themeColor="text1"/>
          <w:sz w:val="32"/>
          <w:szCs w:val="32"/>
          <w14:textFill>
            <w14:solidFill>
              <w14:schemeClr w14:val="tx1"/>
            </w14:solidFill>
          </w14:textFill>
        </w:rPr>
        <w:t>树牢底线思维、极限思维、互联网思维，强化公共安全治理事前预防、重点领域风险常态监测、人民内部矛盾源头化解，增强经济和社会韧性，以高水平安全保障高质量发展。</w:t>
      </w:r>
    </w:p>
    <w:p w14:paraId="25BD793E">
      <w:pPr>
        <w:pStyle w:val="6"/>
        <w:overflowPunct w:val="0"/>
        <w:topLinePunct/>
        <w:spacing w:before="312" w:beforeLines="100" w:after="312" w:afterLines="100"/>
        <w:rPr>
          <w:rFonts w:ascii="黑体" w:hAnsi="黑体" w:cs="黑体"/>
          <w:b/>
          <w:bCs/>
          <w:color w:val="000000" w:themeColor="text1"/>
          <w14:textFill>
            <w14:solidFill>
              <w14:schemeClr w14:val="tx1"/>
            </w14:solidFill>
          </w14:textFill>
        </w:rPr>
      </w:pPr>
      <w:bookmarkStart w:id="5" w:name="_Toc4789"/>
      <w:r>
        <w:rPr>
          <w:rFonts w:hint="eastAsia"/>
          <w:color w:val="000000" w:themeColor="text1"/>
          <w14:textFill>
            <w14:solidFill>
              <w14:schemeClr w14:val="tx1"/>
            </w14:solidFill>
          </w14:textFill>
        </w:rPr>
        <w:t>第四章 发展目标</w:t>
      </w:r>
      <w:bookmarkEnd w:id="5"/>
    </w:p>
    <w:p w14:paraId="4A56F1BB">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创新驱动能级显著提升，聚力建设幸福安康的支撑更加厚实。</w:t>
      </w:r>
      <w:r>
        <w:rPr>
          <w:rFonts w:hint="eastAsia" w:ascii="仿宋_GB2312" w:hAnsi="仿宋_GB2312" w:eastAsia="仿宋_GB2312" w:cs="仿宋_GB2312"/>
          <w:color w:val="000000" w:themeColor="text1"/>
          <w:sz w:val="32"/>
          <w:szCs w:val="32"/>
          <w14:textFill>
            <w14:solidFill>
              <w14:schemeClr w14:val="tx1"/>
            </w14:solidFill>
          </w14:textFill>
        </w:rPr>
        <w:t>经济增速高于全省平均水平，地区生产总值年均增长5.5%左右，区域创新体系更加完善，教育科技人才一体发展格局稳步形成，科技创新和产业创新深度融合，数字安康建设取得重要进展，新质生产力加速培育，具有安康</w:t>
      </w:r>
      <w:r>
        <w:rPr>
          <w:rFonts w:ascii="仿宋_GB2312" w:hAnsi="仿宋_GB2312" w:eastAsia="仿宋_GB2312" w:cs="仿宋_GB2312"/>
          <w:color w:val="000000" w:themeColor="text1"/>
          <w:sz w:val="32"/>
          <w:szCs w:val="32"/>
          <w14:textFill>
            <w14:solidFill>
              <w14:schemeClr w14:val="tx1"/>
            </w14:solidFill>
          </w14:textFill>
        </w:rPr>
        <w:t>特色的</w:t>
      </w:r>
      <w:r>
        <w:rPr>
          <w:rFonts w:hint="eastAsia" w:ascii="仿宋_GB2312" w:hAnsi="仿宋_GB2312" w:eastAsia="仿宋_GB2312" w:cs="仿宋_GB2312"/>
          <w:color w:val="000000" w:themeColor="text1"/>
          <w:sz w:val="32"/>
          <w:szCs w:val="32"/>
          <w14:textFill>
            <w14:solidFill>
              <w14:schemeClr w14:val="tx1"/>
            </w14:solidFill>
          </w14:textFill>
        </w:rPr>
        <w:t>现代化产业体系基本构建，高质量发展迈出坚实步伐。</w:t>
      </w:r>
    </w:p>
    <w:p w14:paraId="1969E00B">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绿色发展成效显著提升，聚力建设幸福安康的底色更加靓丽。</w:t>
      </w:r>
      <w:r>
        <w:rPr>
          <w:rFonts w:hint="eastAsia" w:ascii="仿宋_GB2312" w:hAnsi="仿宋_GB2312" w:eastAsia="仿宋_GB2312" w:cs="仿宋_GB2312"/>
          <w:color w:val="000000" w:themeColor="text1"/>
          <w:sz w:val="32"/>
          <w:szCs w:val="32"/>
          <w14:textFill>
            <w14:solidFill>
              <w14:schemeClr w14:val="tx1"/>
            </w14:solidFill>
          </w14:textFill>
        </w:rPr>
        <w:t>秦岭、巴山、汉江生态屏障持续筑牢，空气</w:t>
      </w:r>
      <w:r>
        <w:rPr>
          <w:rFonts w:ascii="仿宋_GB2312" w:hAnsi="仿宋_GB2312" w:eastAsia="仿宋_GB2312" w:cs="仿宋_GB2312"/>
          <w:color w:val="000000" w:themeColor="text1"/>
          <w:sz w:val="32"/>
          <w:szCs w:val="32"/>
          <w14:textFill>
            <w14:solidFill>
              <w14:schemeClr w14:val="tx1"/>
            </w14:solidFill>
          </w14:textFill>
        </w:rPr>
        <w:t>质量保持全省</w:t>
      </w:r>
      <w:r>
        <w:rPr>
          <w:rFonts w:hint="eastAsia" w:ascii="仿宋_GB2312" w:hAnsi="仿宋_GB2312" w:eastAsia="仿宋_GB2312" w:cs="仿宋_GB2312"/>
          <w:color w:val="000000" w:themeColor="text1"/>
          <w:sz w:val="32"/>
          <w:szCs w:val="32"/>
          <w14:textFill>
            <w14:solidFill>
              <w14:schemeClr w14:val="tx1"/>
            </w14:solidFill>
          </w14:textFill>
        </w:rPr>
        <w:t>前列</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汉江出境断面水质稳定保持地表水Ⅱ类标准，绿色生产生活方式广泛形成，生态产品价值实现机制更加健全，生态城市建设取得重大进展，在秦巴（汉江）生态经济走廊建设中的引领效应凸显。</w:t>
      </w:r>
    </w:p>
    <w:p w14:paraId="72519868">
      <w:pPr>
        <w:overflowPunct w:val="0"/>
        <w:spacing w:line="560" w:lineRule="exact"/>
        <w:ind w:firstLine="643"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改革开放水平显著提升，聚力建设幸福安康的动能更加强劲。</w:t>
      </w:r>
      <w:r>
        <w:rPr>
          <w:rFonts w:hint="eastAsia" w:ascii="仿宋_GB2312" w:hAnsi="仿宋_GB2312" w:eastAsia="仿宋_GB2312" w:cs="仿宋_GB2312"/>
          <w:color w:val="000000" w:themeColor="text1"/>
          <w:spacing w:val="-4"/>
          <w:sz w:val="32"/>
          <w:szCs w:val="32"/>
          <w14:textFill>
            <w14:solidFill>
              <w14:schemeClr w14:val="tx1"/>
            </w14:solidFill>
          </w14:textFill>
        </w:rPr>
        <w:t>重点领域改革取得标志性成果，营商环境保持全省第一方阵，经营主体活力充分释放，民营经济增加值占地区生产总值比重达到55%；开放平台能级整体跃升，全方位开放格局加快构建，区域协同效应持续增强，在打造内陆开放新高地上走在全省前列。</w:t>
      </w:r>
    </w:p>
    <w:p w14:paraId="283C8774">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城乡融合质效显著提升，聚力建设幸福安康的成果更加普惠。</w:t>
      </w:r>
      <w:r>
        <w:rPr>
          <w:rFonts w:hint="eastAsia" w:ascii="仿宋_GB2312" w:hAnsi="仿宋_GB2312" w:eastAsia="仿宋_GB2312" w:cs="仿宋_GB2312"/>
          <w:color w:val="000000" w:themeColor="text1"/>
          <w:sz w:val="32"/>
          <w:szCs w:val="32"/>
          <w14:textFill>
            <w14:solidFill>
              <w14:schemeClr w14:val="tx1"/>
            </w14:solidFill>
          </w14:textFill>
        </w:rPr>
        <w:t>脱贫攻坚成果持续巩固拓展，乡村振兴有序有力推进，居民</w:t>
      </w:r>
      <w:r>
        <w:rPr>
          <w:rFonts w:ascii="仿宋_GB2312" w:hAnsi="仿宋_GB2312" w:eastAsia="仿宋_GB2312" w:cs="仿宋_GB2312"/>
          <w:color w:val="000000" w:themeColor="text1"/>
          <w:sz w:val="32"/>
          <w:szCs w:val="32"/>
          <w14:textFill>
            <w14:solidFill>
              <w14:schemeClr w14:val="tx1"/>
            </w14:solidFill>
          </w14:textFill>
        </w:rPr>
        <w:t>收入增</w:t>
      </w:r>
      <w:r>
        <w:rPr>
          <w:rFonts w:hint="eastAsia" w:ascii="仿宋_GB2312" w:hAnsi="仿宋_GB2312" w:eastAsia="仿宋_GB2312" w:cs="仿宋_GB2312"/>
          <w:color w:val="000000" w:themeColor="text1"/>
          <w:sz w:val="32"/>
          <w:szCs w:val="32"/>
          <w14:textFill>
            <w14:solidFill>
              <w14:schemeClr w14:val="tx1"/>
            </w14:solidFill>
          </w14:textFill>
        </w:rPr>
        <w:t>速达到5.5%以上，城乡居民人均可支配收入比降低至2:1左右</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社会保障体系更加健全，基本公共服务均等化水平稳步提升，城乡要素双向流动更加顺畅，城乡</w:t>
      </w:r>
      <w:r>
        <w:rPr>
          <w:rFonts w:hint="eastAsia" w:ascii="仿宋_GB2312" w:hAnsi="仿宋_GB2312" w:eastAsia="仿宋_GB2312" w:cs="仿宋_GB2312"/>
          <w:color w:val="000000" w:themeColor="text1"/>
          <w:spacing w:val="-11"/>
          <w:sz w:val="32"/>
          <w:szCs w:val="32"/>
          <w14:textFill>
            <w14:solidFill>
              <w14:schemeClr w14:val="tx1"/>
            </w14:solidFill>
          </w14:textFill>
        </w:rPr>
        <w:t>发展差距持续缩小，城乡融合发展路径对脱贫地区的示范作用彰显</w:t>
      </w:r>
      <w:r>
        <w:rPr>
          <w:rFonts w:hint="eastAsia" w:ascii="仿宋_GB2312" w:hAnsi="仿宋_GB2312" w:eastAsia="仿宋_GB2312" w:cs="仿宋_GB2312"/>
          <w:color w:val="000000" w:themeColor="text1"/>
          <w:sz w:val="32"/>
          <w:szCs w:val="32"/>
          <w14:textFill>
            <w14:solidFill>
              <w14:schemeClr w14:val="tx1"/>
            </w14:solidFill>
          </w14:textFill>
        </w:rPr>
        <w:t>。</w:t>
      </w:r>
    </w:p>
    <w:p w14:paraId="11EA58EA">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社会文明程度显著提升，聚力建设幸福安康的内涵更加丰盈。</w:t>
      </w:r>
      <w:r>
        <w:rPr>
          <w:rFonts w:hint="eastAsia" w:ascii="仿宋_GB2312" w:hAnsi="仿宋_GB2312" w:eastAsia="仿宋_GB2312" w:cs="仿宋_GB2312"/>
          <w:color w:val="000000" w:themeColor="text1"/>
          <w:sz w:val="32"/>
          <w:szCs w:val="32"/>
          <w14:textFill>
            <w14:solidFill>
              <w14:schemeClr w14:val="tx1"/>
            </w14:solidFill>
          </w14:textFill>
        </w:rPr>
        <w:t>社会主义核心价值观深入人心，孝义善举蔚然成风，公民思想道德素养和科学文化素质明显提高，文化遗产保护传承成效显著，公共文化服务体系更加完善，高品质文化产品供给更加丰富，文化创新创造活力持续迸发，文化产业增加值占地区生产总值比重达到5%左右，文化强市建设取得重大突破。</w:t>
      </w:r>
    </w:p>
    <w:p w14:paraId="6A4DC09C">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安全保障能力显著提升，聚力建设幸福安康的屏障更加稳固。</w:t>
      </w:r>
      <w:r>
        <w:rPr>
          <w:rFonts w:hint="eastAsia" w:ascii="仿宋_GB2312" w:hAnsi="仿宋_GB2312" w:eastAsia="仿宋_GB2312" w:cs="仿宋_GB2312"/>
          <w:color w:val="000000" w:themeColor="text1"/>
          <w:sz w:val="32"/>
          <w:szCs w:val="32"/>
          <w14:textFill>
            <w14:solidFill>
              <w14:schemeClr w14:val="tx1"/>
            </w14:solidFill>
          </w14:textFill>
        </w:rPr>
        <w:t>维护</w:t>
      </w:r>
      <w:r>
        <w:rPr>
          <w:rFonts w:ascii="仿宋_GB2312" w:hAnsi="仿宋_GB2312" w:eastAsia="仿宋_GB2312" w:cs="仿宋_GB2312"/>
          <w:color w:val="000000" w:themeColor="text1"/>
          <w:sz w:val="32"/>
          <w:szCs w:val="32"/>
          <w14:textFill>
            <w14:solidFill>
              <w14:schemeClr w14:val="tx1"/>
            </w14:solidFill>
          </w14:textFill>
        </w:rPr>
        <w:t>国家安</w:t>
      </w:r>
      <w:r>
        <w:rPr>
          <w:rFonts w:hint="eastAsia" w:ascii="仿宋_GB2312" w:hAnsi="仿宋_GB2312" w:eastAsia="仿宋_GB2312" w:cs="仿宋_GB2312"/>
          <w:color w:val="000000" w:themeColor="text1"/>
          <w:sz w:val="32"/>
          <w:szCs w:val="32"/>
          <w14:textFill>
            <w14:solidFill>
              <w14:schemeClr w14:val="tx1"/>
            </w14:solidFill>
          </w14:textFill>
        </w:rPr>
        <w:t>全体系</w:t>
      </w:r>
      <w:r>
        <w:rPr>
          <w:rFonts w:ascii="仿宋_GB2312" w:hAnsi="仿宋_GB2312" w:eastAsia="仿宋_GB2312" w:cs="仿宋_GB2312"/>
          <w:color w:val="000000" w:themeColor="text1"/>
          <w:sz w:val="32"/>
          <w:szCs w:val="32"/>
          <w14:textFill>
            <w14:solidFill>
              <w14:schemeClr w14:val="tx1"/>
            </w14:solidFill>
          </w14:textFill>
        </w:rPr>
        <w:t>全</w:t>
      </w:r>
      <w:r>
        <w:rPr>
          <w:rFonts w:hint="eastAsia" w:ascii="仿宋_GB2312" w:hAnsi="仿宋_GB2312" w:eastAsia="仿宋_GB2312" w:cs="仿宋_GB2312"/>
          <w:color w:val="000000" w:themeColor="text1"/>
          <w:sz w:val="32"/>
          <w:szCs w:val="32"/>
          <w14:textFill>
            <w14:solidFill>
              <w14:schemeClr w14:val="tx1"/>
            </w14:solidFill>
          </w14:textFill>
        </w:rPr>
        <w:t>面加强</w:t>
      </w:r>
      <w:r>
        <w:rPr>
          <w:rFonts w:ascii="仿宋_GB2312" w:hAnsi="仿宋_GB2312" w:eastAsia="仿宋_GB2312" w:cs="仿宋_GB2312"/>
          <w:color w:val="000000" w:themeColor="text1"/>
          <w:sz w:val="32"/>
          <w:szCs w:val="32"/>
          <w14:textFill>
            <w14:solidFill>
              <w14:schemeClr w14:val="tx1"/>
            </w14:solidFill>
          </w14:textFill>
        </w:rPr>
        <w:t>，风险防范化解能力显著增强，</w:t>
      </w:r>
      <w:r>
        <w:rPr>
          <w:rFonts w:hint="eastAsia" w:ascii="仿宋_GB2312" w:hAnsi="仿宋_GB2312" w:eastAsia="仿宋_GB2312" w:cs="仿宋_GB2312"/>
          <w:color w:val="000000" w:themeColor="text1"/>
          <w:sz w:val="32"/>
          <w:szCs w:val="32"/>
          <w14:textFill>
            <w14:solidFill>
              <w14:schemeClr w14:val="tx1"/>
            </w14:solidFill>
          </w14:textFill>
        </w:rPr>
        <w:t>安全生产、应急救援和防灾减灾救灾效能持续提升</w:t>
      </w:r>
      <w:r>
        <w:rPr>
          <w:rFonts w:ascii="仿宋_GB2312" w:hAnsi="仿宋_GB2312" w:eastAsia="仿宋_GB2312" w:cs="仿宋_GB2312"/>
          <w:color w:val="000000" w:themeColor="text1"/>
          <w:sz w:val="32"/>
          <w:szCs w:val="32"/>
          <w14:textFill>
            <w14:solidFill>
              <w14:schemeClr w14:val="tx1"/>
            </w14:solidFill>
          </w14:textFill>
        </w:rPr>
        <w:t>，社会治理现代化水平稳步提高，安全保障更加有力</w:t>
      </w:r>
      <w:r>
        <w:rPr>
          <w:rFonts w:hint="eastAsia" w:ascii="仿宋_GB2312" w:hAnsi="仿宋_GB2312" w:eastAsia="仿宋_GB2312" w:cs="仿宋_GB2312"/>
          <w:color w:val="000000" w:themeColor="text1"/>
          <w:sz w:val="32"/>
          <w:szCs w:val="32"/>
          <w14:textFill>
            <w14:solidFill>
              <w14:schemeClr w14:val="tx1"/>
            </w14:solidFill>
          </w14:textFill>
        </w:rPr>
        <w:t>，更高水平平安安康建设扎实推进，形成治理有效的“安康样板”。</w:t>
      </w:r>
    </w:p>
    <w:p w14:paraId="1A67637C">
      <w:pPr>
        <w:overflowPunct w:val="0"/>
        <w:topLinePunct/>
        <w:adjustRightInd w:val="0"/>
        <w:snapToGrid w:val="0"/>
        <w:spacing w:line="560" w:lineRule="exact"/>
        <w:ind w:firstLine="640" w:firstLineChars="200"/>
        <w:rPr>
          <w:rFonts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在此基础上再奋斗五年，与全国全省同步基本实现社会主义现代化，汉江生态经济带重要节点城市基本建成，在中国式现代化道路上聚力建设幸福安康取得显著成效</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p>
    <w:p w14:paraId="05742137">
      <w:pPr>
        <w:overflowPunct w:val="0"/>
        <w:topLinePunct/>
        <w:adjustRightInd w:val="0"/>
        <w:snapToGrid w:val="0"/>
        <w:spacing w:before="156" w:beforeLines="50" w:after="156" w:afterLines="50" w:line="574" w:lineRule="exact"/>
        <w:jc w:val="center"/>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表1-2 安康市“十五五”经济社会发展指标</w:t>
      </w:r>
    </w:p>
    <w:tbl>
      <w:tblPr>
        <w:tblStyle w:val="33"/>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500"/>
        <w:gridCol w:w="1864"/>
        <w:gridCol w:w="900"/>
        <w:gridCol w:w="964"/>
        <w:gridCol w:w="1038"/>
        <w:gridCol w:w="850"/>
        <w:gridCol w:w="963"/>
      </w:tblGrid>
      <w:tr w14:paraId="150F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blHeader/>
          <w:jc w:val="center"/>
        </w:trPr>
        <w:tc>
          <w:tcPr>
            <w:tcW w:w="759" w:type="dxa"/>
            <w:tcBorders>
              <w:top w:val="single" w:color="auto" w:sz="4" w:space="0"/>
              <w:left w:val="single" w:color="auto" w:sz="4" w:space="0"/>
              <w:bottom w:val="single" w:color="auto" w:sz="4" w:space="0"/>
              <w:right w:val="single" w:color="auto" w:sz="4" w:space="0"/>
            </w:tcBorders>
            <w:noWrap/>
            <w:vAlign w:val="center"/>
          </w:tcPr>
          <w:p w14:paraId="2E0AB730">
            <w:pPr>
              <w:overflowPunct w:val="0"/>
              <w:topLinePunct/>
              <w:adjustRightInd w:val="0"/>
              <w:snapToGrid w:val="0"/>
              <w:jc w:val="center"/>
              <w:textAlignment w:val="center"/>
              <w:rPr>
                <w:rFonts w:ascii="Times New Roman" w:hAnsi="Times New Roman" w:eastAsia="宋体"/>
                <w:b/>
                <w:bCs/>
                <w:color w:val="000000" w:themeColor="text1"/>
                <w:sz w:val="20"/>
                <w:szCs w:val="20"/>
                <w14:textFill>
                  <w14:solidFill>
                    <w14:schemeClr w14:val="tx1"/>
                  </w14:solidFill>
                </w14:textFill>
              </w:rPr>
            </w:pPr>
            <w:r>
              <w:rPr>
                <w:rFonts w:ascii="宋体" w:hAnsi="宋体" w:eastAsia="宋体"/>
                <w:b/>
                <w:bCs/>
                <w:color w:val="000000" w:themeColor="text1"/>
                <w:kern w:val="0"/>
                <w:sz w:val="20"/>
                <w:szCs w:val="20"/>
                <w14:textFill>
                  <w14:solidFill>
                    <w14:schemeClr w14:val="tx1"/>
                  </w14:solidFill>
                </w14:textFill>
              </w:rPr>
              <w:t>分类</w:t>
            </w: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48CFF4EE">
            <w:pPr>
              <w:overflowPunct w:val="0"/>
              <w:topLinePunct/>
              <w:adjustRightInd w:val="0"/>
              <w:snapToGrid w:val="0"/>
              <w:jc w:val="center"/>
              <w:textAlignment w:val="center"/>
              <w:rPr>
                <w:rFonts w:ascii="Times New Roman" w:hAnsi="Times New Roman" w:eastAsia="宋体"/>
                <w:b/>
                <w:bCs/>
                <w:color w:val="000000" w:themeColor="text1"/>
                <w:sz w:val="20"/>
                <w:szCs w:val="20"/>
                <w14:textFill>
                  <w14:solidFill>
                    <w14:schemeClr w14:val="tx1"/>
                  </w14:solidFill>
                </w14:textFill>
              </w:rPr>
            </w:pPr>
            <w:r>
              <w:rPr>
                <w:rFonts w:ascii="宋体" w:hAnsi="宋体" w:eastAsia="宋体"/>
                <w:b/>
                <w:bCs/>
                <w:color w:val="000000" w:themeColor="text1"/>
                <w:kern w:val="0"/>
                <w:sz w:val="20"/>
                <w:szCs w:val="20"/>
                <w14:textFill>
                  <w14:solidFill>
                    <w14:schemeClr w14:val="tx1"/>
                  </w14:solidFill>
                </w14:textFill>
              </w:rPr>
              <w:t>指标体系</w:t>
            </w:r>
          </w:p>
        </w:tc>
        <w:tc>
          <w:tcPr>
            <w:tcW w:w="900" w:type="dxa"/>
            <w:tcBorders>
              <w:top w:val="single" w:color="auto" w:sz="4" w:space="0"/>
              <w:left w:val="single" w:color="auto" w:sz="4" w:space="0"/>
              <w:bottom w:val="single" w:color="auto" w:sz="4" w:space="0"/>
              <w:right w:val="single" w:color="auto" w:sz="4" w:space="0"/>
            </w:tcBorders>
            <w:noWrap/>
            <w:vAlign w:val="center"/>
          </w:tcPr>
          <w:p w14:paraId="3C79CE9B">
            <w:pPr>
              <w:overflowPunct w:val="0"/>
              <w:topLinePunct/>
              <w:adjustRightInd w:val="0"/>
              <w:snapToGrid w:val="0"/>
              <w:jc w:val="center"/>
              <w:textAlignment w:val="center"/>
              <w:rPr>
                <w:rFonts w:ascii="Times New Roman" w:hAnsi="Times New Roman" w:eastAsia="宋体"/>
                <w:b/>
                <w:bCs/>
                <w:color w:val="000000" w:themeColor="text1"/>
                <w:sz w:val="20"/>
                <w:szCs w:val="20"/>
                <w14:textFill>
                  <w14:solidFill>
                    <w14:schemeClr w14:val="tx1"/>
                  </w14:solidFill>
                </w14:textFill>
              </w:rPr>
            </w:pPr>
            <w:r>
              <w:rPr>
                <w:rFonts w:ascii="宋体" w:hAnsi="宋体" w:eastAsia="宋体"/>
                <w:b/>
                <w:bCs/>
                <w:color w:val="000000" w:themeColor="text1"/>
                <w:kern w:val="0"/>
                <w:sz w:val="20"/>
                <w:szCs w:val="20"/>
                <w14:textFill>
                  <w14:solidFill>
                    <w14:schemeClr w14:val="tx1"/>
                  </w14:solidFill>
                </w14:textFill>
              </w:rPr>
              <w:t>单位</w:t>
            </w:r>
          </w:p>
        </w:tc>
        <w:tc>
          <w:tcPr>
            <w:tcW w:w="964" w:type="dxa"/>
            <w:tcBorders>
              <w:top w:val="single" w:color="auto" w:sz="4" w:space="0"/>
              <w:left w:val="single" w:color="auto" w:sz="4" w:space="0"/>
              <w:bottom w:val="single" w:color="auto" w:sz="4" w:space="0"/>
              <w:right w:val="single" w:color="auto" w:sz="4" w:space="0"/>
            </w:tcBorders>
            <w:noWrap/>
            <w:vAlign w:val="center"/>
          </w:tcPr>
          <w:p w14:paraId="6F045C27">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2025年</w:t>
            </w:r>
          </w:p>
          <w:p w14:paraId="33C6FB28">
            <w:pPr>
              <w:overflowPunct w:val="0"/>
              <w:topLinePunct/>
              <w:adjustRightInd w:val="0"/>
              <w:snapToGrid w:val="0"/>
              <w:jc w:val="center"/>
              <w:textAlignment w:val="center"/>
              <w:rPr>
                <w:rFonts w:ascii="Times New Roman" w:hAnsi="Times New Roman"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实际</w:t>
            </w:r>
          </w:p>
        </w:tc>
        <w:tc>
          <w:tcPr>
            <w:tcW w:w="1038" w:type="dxa"/>
            <w:tcBorders>
              <w:top w:val="single" w:color="auto" w:sz="4" w:space="0"/>
              <w:left w:val="single" w:color="auto" w:sz="4" w:space="0"/>
              <w:bottom w:val="single" w:color="auto" w:sz="4" w:space="0"/>
              <w:right w:val="single" w:color="auto" w:sz="4" w:space="0"/>
            </w:tcBorders>
            <w:noWrap/>
            <w:vAlign w:val="center"/>
          </w:tcPr>
          <w:p w14:paraId="6EAA4370">
            <w:pPr>
              <w:overflowPunct w:val="0"/>
              <w:topLinePunct/>
              <w:adjustRightInd w:val="0"/>
              <w:snapToGrid w:val="0"/>
              <w:jc w:val="center"/>
              <w:textAlignment w:val="center"/>
              <w:rPr>
                <w:rFonts w:ascii="宋体" w:hAnsi="宋体"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2030年</w:t>
            </w:r>
          </w:p>
          <w:p w14:paraId="741377AB">
            <w:pPr>
              <w:overflowPunct w:val="0"/>
              <w:topLinePunct/>
              <w:adjustRightInd w:val="0"/>
              <w:snapToGrid w:val="0"/>
              <w:jc w:val="center"/>
              <w:textAlignment w:val="center"/>
              <w:rPr>
                <w:rFonts w:ascii="Times New Roman" w:hAnsi="Times New Roman" w:eastAsia="宋体"/>
                <w:b/>
                <w:bCs/>
                <w:color w:val="000000" w:themeColor="text1"/>
                <w:kern w:val="0"/>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预期</w:t>
            </w:r>
          </w:p>
        </w:tc>
        <w:tc>
          <w:tcPr>
            <w:tcW w:w="850" w:type="dxa"/>
            <w:tcBorders>
              <w:top w:val="single" w:color="auto" w:sz="4" w:space="0"/>
              <w:left w:val="single" w:color="auto" w:sz="4" w:space="0"/>
              <w:bottom w:val="single" w:color="auto" w:sz="4" w:space="0"/>
              <w:right w:val="single" w:color="auto" w:sz="4" w:space="0"/>
            </w:tcBorders>
            <w:noWrap/>
            <w:vAlign w:val="center"/>
          </w:tcPr>
          <w:p w14:paraId="29789F34">
            <w:pPr>
              <w:overflowPunct w:val="0"/>
              <w:topLinePunct/>
              <w:adjustRightInd w:val="0"/>
              <w:snapToGrid w:val="0"/>
              <w:jc w:val="center"/>
              <w:textAlignment w:val="center"/>
              <w:rPr>
                <w:rFonts w:ascii="Times New Roman" w:hAnsi="Times New Roman" w:eastAsia="宋体"/>
                <w:b/>
                <w:bCs/>
                <w:color w:val="000000" w:themeColor="text1"/>
                <w:sz w:val="20"/>
                <w:szCs w:val="20"/>
                <w14:textFill>
                  <w14:solidFill>
                    <w14:schemeClr w14:val="tx1"/>
                  </w14:solidFill>
                </w14:textFill>
              </w:rPr>
            </w:pPr>
            <w:r>
              <w:rPr>
                <w:rFonts w:ascii="宋体" w:hAnsi="宋体" w:eastAsia="宋体"/>
                <w:b/>
                <w:bCs/>
                <w:color w:val="000000" w:themeColor="text1"/>
                <w:sz w:val="20"/>
                <w:szCs w:val="20"/>
                <w14:textFill>
                  <w14:solidFill>
                    <w14:schemeClr w14:val="tx1"/>
                  </w14:solidFill>
                </w14:textFill>
              </w:rPr>
              <w:t>年均</w:t>
            </w:r>
            <w:r>
              <w:rPr>
                <w:rFonts w:hint="eastAsia" w:ascii="宋体" w:hAnsi="宋体" w:eastAsia="宋体"/>
                <w:b/>
                <w:bCs/>
                <w:color w:val="000000" w:themeColor="text1"/>
                <w:sz w:val="20"/>
                <w:szCs w:val="20"/>
                <w14:textFill>
                  <w14:solidFill>
                    <w14:schemeClr w14:val="tx1"/>
                  </w14:solidFill>
                </w14:textFill>
              </w:rPr>
              <w:t xml:space="preserve"> 增速</w:t>
            </w:r>
          </w:p>
        </w:tc>
        <w:tc>
          <w:tcPr>
            <w:tcW w:w="963" w:type="dxa"/>
            <w:tcBorders>
              <w:top w:val="single" w:color="auto" w:sz="4" w:space="0"/>
              <w:left w:val="single" w:color="auto" w:sz="4" w:space="0"/>
              <w:bottom w:val="single" w:color="auto" w:sz="4" w:space="0"/>
              <w:right w:val="single" w:color="auto" w:sz="4" w:space="0"/>
            </w:tcBorders>
            <w:noWrap/>
            <w:vAlign w:val="center"/>
          </w:tcPr>
          <w:p w14:paraId="2ACDD571">
            <w:pPr>
              <w:overflowPunct w:val="0"/>
              <w:topLinePunct/>
              <w:spacing w:line="280" w:lineRule="exact"/>
              <w:jc w:val="center"/>
              <w:rPr>
                <w:rFonts w:ascii="Times New Roman" w:hAnsi="Times New Roman" w:eastAsia="宋体"/>
                <w:b/>
                <w:bCs/>
                <w:color w:val="000000" w:themeColor="text1"/>
                <w:sz w:val="20"/>
                <w:szCs w:val="20"/>
                <w14:textFill>
                  <w14:solidFill>
                    <w14:schemeClr w14:val="tx1"/>
                  </w14:solidFill>
                </w14:textFill>
              </w:rPr>
            </w:pPr>
            <w:r>
              <w:rPr>
                <w:rFonts w:ascii="宋体" w:hAnsi="宋体" w:eastAsia="宋体"/>
                <w:b/>
                <w:bCs/>
                <w:color w:val="000000" w:themeColor="text1"/>
                <w:sz w:val="20"/>
                <w:szCs w:val="20"/>
                <w14:textFill>
                  <w14:solidFill>
                    <w14:schemeClr w14:val="tx1"/>
                  </w14:solidFill>
                </w14:textFill>
              </w:rPr>
              <w:t>属</w:t>
            </w:r>
            <w:r>
              <w:rPr>
                <w:rFonts w:ascii="Times New Roman" w:hAnsi="Times New Roman" w:eastAsia="宋体"/>
                <w:b/>
                <w:bCs/>
                <w:color w:val="000000" w:themeColor="text1"/>
                <w:sz w:val="20"/>
                <w:szCs w:val="20"/>
                <w14:textFill>
                  <w14:solidFill>
                    <w14:schemeClr w14:val="tx1"/>
                  </w14:solidFill>
                </w14:textFill>
              </w:rPr>
              <w:t xml:space="preserve"> </w:t>
            </w:r>
            <w:r>
              <w:rPr>
                <w:rFonts w:ascii="宋体" w:hAnsi="宋体" w:eastAsia="宋体"/>
                <w:b/>
                <w:bCs/>
                <w:color w:val="000000" w:themeColor="text1"/>
                <w:sz w:val="20"/>
                <w:szCs w:val="20"/>
                <w14:textFill>
                  <w14:solidFill>
                    <w14:schemeClr w14:val="tx1"/>
                  </w14:solidFill>
                </w14:textFill>
              </w:rPr>
              <w:t>性</w:t>
            </w:r>
          </w:p>
        </w:tc>
      </w:tr>
      <w:tr w14:paraId="6E56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restart"/>
            <w:tcBorders>
              <w:top w:val="nil"/>
              <w:left w:val="single" w:color="auto" w:sz="4" w:space="0"/>
              <w:bottom w:val="single" w:color="auto" w:sz="4" w:space="0"/>
              <w:right w:val="single" w:color="auto" w:sz="4" w:space="0"/>
            </w:tcBorders>
            <w:noWrap/>
            <w:vAlign w:val="center"/>
          </w:tcPr>
          <w:p w14:paraId="3075CF2A">
            <w:pPr>
              <w:overflowPunct w:val="0"/>
              <w:topLinePunct/>
              <w:adjustRightInd w:val="0"/>
              <w:snapToGrid w:val="0"/>
              <w:jc w:val="center"/>
              <w:textAlignment w:val="center"/>
              <w:rPr>
                <w:rFonts w:ascii="Times New Roman" w:hAnsi="Times New Roman"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kern w:val="0"/>
                <w:sz w:val="20"/>
                <w:szCs w:val="20"/>
                <w14:textFill>
                  <w14:solidFill>
                    <w14:schemeClr w14:val="tx1"/>
                  </w14:solidFill>
                </w14:textFill>
              </w:rPr>
              <w:t>经济发展</w:t>
            </w: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55E1683F">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1.地区生产总值增速</w:t>
            </w:r>
          </w:p>
        </w:tc>
        <w:tc>
          <w:tcPr>
            <w:tcW w:w="900" w:type="dxa"/>
            <w:tcBorders>
              <w:top w:val="single" w:color="auto" w:sz="4" w:space="0"/>
              <w:left w:val="single" w:color="auto" w:sz="4" w:space="0"/>
              <w:bottom w:val="single" w:color="auto" w:sz="4" w:space="0"/>
              <w:right w:val="single" w:color="auto" w:sz="4" w:space="0"/>
            </w:tcBorders>
            <w:noWrap/>
            <w:vAlign w:val="center"/>
          </w:tcPr>
          <w:p w14:paraId="2EC624FB">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6567705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5.6</w:t>
            </w:r>
          </w:p>
        </w:tc>
        <w:tc>
          <w:tcPr>
            <w:tcW w:w="1038" w:type="dxa"/>
            <w:tcBorders>
              <w:top w:val="single" w:color="auto" w:sz="4" w:space="0"/>
              <w:left w:val="single" w:color="auto" w:sz="4" w:space="0"/>
              <w:bottom w:val="single" w:color="auto" w:sz="4" w:space="0"/>
              <w:right w:val="single" w:color="auto" w:sz="4" w:space="0"/>
            </w:tcBorders>
            <w:noWrap/>
            <w:vAlign w:val="center"/>
          </w:tcPr>
          <w:p w14:paraId="17661706">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noWrap/>
            <w:vAlign w:val="center"/>
          </w:tcPr>
          <w:p w14:paraId="7A09BC3C">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5.5</w:t>
            </w:r>
          </w:p>
        </w:tc>
        <w:tc>
          <w:tcPr>
            <w:tcW w:w="963" w:type="dxa"/>
            <w:tcBorders>
              <w:top w:val="single" w:color="auto" w:sz="4" w:space="0"/>
              <w:left w:val="single" w:color="auto" w:sz="4" w:space="0"/>
              <w:bottom w:val="single" w:color="auto" w:sz="4" w:space="0"/>
              <w:right w:val="single" w:color="auto" w:sz="4" w:space="0"/>
            </w:tcBorders>
            <w:noWrap/>
            <w:vAlign w:val="center"/>
          </w:tcPr>
          <w:p w14:paraId="0D9C9356">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预期性</w:t>
            </w:r>
          </w:p>
        </w:tc>
      </w:tr>
      <w:tr w14:paraId="7FF5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215F8FDC">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026D583A">
            <w:pPr>
              <w:overflowPunct w:val="0"/>
              <w:topLinePunct/>
              <w:adjustRightInd w:val="0"/>
              <w:snapToGrid w:val="0"/>
              <w:jc w:val="left"/>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2.全员劳动生产率增速</w:t>
            </w:r>
          </w:p>
        </w:tc>
        <w:tc>
          <w:tcPr>
            <w:tcW w:w="900" w:type="dxa"/>
            <w:tcBorders>
              <w:top w:val="single" w:color="auto" w:sz="4" w:space="0"/>
              <w:left w:val="single" w:color="auto" w:sz="4" w:space="0"/>
              <w:bottom w:val="single" w:color="auto" w:sz="4" w:space="0"/>
              <w:right w:val="single" w:color="auto" w:sz="4" w:space="0"/>
            </w:tcBorders>
            <w:noWrap/>
            <w:vAlign w:val="center"/>
          </w:tcPr>
          <w:p w14:paraId="06BDB4C8">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51CBA73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1038" w:type="dxa"/>
            <w:tcBorders>
              <w:top w:val="single" w:color="auto" w:sz="4" w:space="0"/>
              <w:left w:val="single" w:color="auto" w:sz="4" w:space="0"/>
              <w:bottom w:val="single" w:color="auto" w:sz="4" w:space="0"/>
              <w:right w:val="single" w:color="auto" w:sz="4" w:space="0"/>
            </w:tcBorders>
            <w:noWrap/>
            <w:vAlign w:val="center"/>
          </w:tcPr>
          <w:p w14:paraId="0F95FE1B">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noWrap/>
            <w:vAlign w:val="center"/>
          </w:tcPr>
          <w:p w14:paraId="10C9C479">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5.5</w:t>
            </w:r>
          </w:p>
        </w:tc>
        <w:tc>
          <w:tcPr>
            <w:tcW w:w="963" w:type="dxa"/>
            <w:tcBorders>
              <w:top w:val="single" w:color="auto" w:sz="4" w:space="0"/>
              <w:left w:val="single" w:color="auto" w:sz="4" w:space="0"/>
              <w:bottom w:val="single" w:color="auto" w:sz="4" w:space="0"/>
              <w:right w:val="single" w:color="auto" w:sz="4" w:space="0"/>
            </w:tcBorders>
            <w:noWrap/>
            <w:vAlign w:val="center"/>
          </w:tcPr>
          <w:p w14:paraId="49C72833">
            <w:pPr>
              <w:overflowPunct w:val="0"/>
              <w:topLinePunct/>
              <w:spacing w:line="280" w:lineRule="exact"/>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793D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1FFE42F6">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2042785C">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3.常住人口城镇化率</w:t>
            </w:r>
          </w:p>
        </w:tc>
        <w:tc>
          <w:tcPr>
            <w:tcW w:w="900" w:type="dxa"/>
            <w:tcBorders>
              <w:top w:val="single" w:color="auto" w:sz="4" w:space="0"/>
              <w:left w:val="single" w:color="auto" w:sz="4" w:space="0"/>
              <w:bottom w:val="single" w:color="auto" w:sz="4" w:space="0"/>
              <w:right w:val="single" w:color="auto" w:sz="4" w:space="0"/>
            </w:tcBorders>
            <w:noWrap/>
            <w:vAlign w:val="center"/>
          </w:tcPr>
          <w:p w14:paraId="625E74FF">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45884BB8">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56.23</w:t>
            </w:r>
          </w:p>
        </w:tc>
        <w:tc>
          <w:tcPr>
            <w:tcW w:w="1038" w:type="dxa"/>
            <w:tcBorders>
              <w:top w:val="single" w:color="auto" w:sz="4" w:space="0"/>
              <w:left w:val="single" w:color="auto" w:sz="4" w:space="0"/>
              <w:bottom w:val="single" w:color="auto" w:sz="4" w:space="0"/>
              <w:right w:val="single" w:color="auto" w:sz="4" w:space="0"/>
            </w:tcBorders>
            <w:noWrap/>
            <w:vAlign w:val="center"/>
          </w:tcPr>
          <w:p w14:paraId="6B84F92B">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60</w:t>
            </w:r>
          </w:p>
        </w:tc>
        <w:tc>
          <w:tcPr>
            <w:tcW w:w="850" w:type="dxa"/>
            <w:tcBorders>
              <w:top w:val="single" w:color="auto" w:sz="4" w:space="0"/>
              <w:left w:val="single" w:color="auto" w:sz="4" w:space="0"/>
              <w:bottom w:val="single" w:color="auto" w:sz="4" w:space="0"/>
              <w:right w:val="single" w:color="auto" w:sz="4" w:space="0"/>
            </w:tcBorders>
            <w:noWrap/>
            <w:vAlign w:val="center"/>
          </w:tcPr>
          <w:p w14:paraId="2EC4E2D2">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5E57EC0F">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08A1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1BF74039">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7965935D">
            <w:pPr>
              <w:overflowPunct w:val="0"/>
              <w:topLinePunct/>
              <w:adjustRightInd w:val="0"/>
              <w:snapToGrid w:val="0"/>
              <w:jc w:val="left"/>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4.重点产业链综合产值增速</w:t>
            </w:r>
          </w:p>
        </w:tc>
        <w:tc>
          <w:tcPr>
            <w:tcW w:w="900" w:type="dxa"/>
            <w:tcBorders>
              <w:top w:val="single" w:color="auto" w:sz="4" w:space="0"/>
              <w:left w:val="single" w:color="auto" w:sz="4" w:space="0"/>
              <w:bottom w:val="single" w:color="auto" w:sz="4" w:space="0"/>
              <w:right w:val="single" w:color="auto" w:sz="4" w:space="0"/>
            </w:tcBorders>
            <w:noWrap/>
            <w:vAlign w:val="center"/>
          </w:tcPr>
          <w:p w14:paraId="7EA9A72C">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5DBBA996">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13.8</w:t>
            </w:r>
          </w:p>
        </w:tc>
        <w:tc>
          <w:tcPr>
            <w:tcW w:w="1038" w:type="dxa"/>
            <w:tcBorders>
              <w:top w:val="single" w:color="auto" w:sz="4" w:space="0"/>
              <w:left w:val="single" w:color="auto" w:sz="4" w:space="0"/>
              <w:bottom w:val="single" w:color="auto" w:sz="4" w:space="0"/>
              <w:right w:val="single" w:color="auto" w:sz="4" w:space="0"/>
            </w:tcBorders>
            <w:noWrap/>
            <w:vAlign w:val="center"/>
          </w:tcPr>
          <w:p w14:paraId="7003BDCB">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noWrap/>
            <w:vAlign w:val="center"/>
          </w:tcPr>
          <w:p w14:paraId="17019BD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10</w:t>
            </w:r>
          </w:p>
        </w:tc>
        <w:tc>
          <w:tcPr>
            <w:tcW w:w="963" w:type="dxa"/>
            <w:tcBorders>
              <w:top w:val="single" w:color="auto" w:sz="4" w:space="0"/>
              <w:left w:val="single" w:color="auto" w:sz="4" w:space="0"/>
              <w:bottom w:val="single" w:color="auto" w:sz="4" w:space="0"/>
              <w:right w:val="single" w:color="auto" w:sz="4" w:space="0"/>
            </w:tcBorders>
            <w:noWrap/>
            <w:vAlign w:val="center"/>
          </w:tcPr>
          <w:p w14:paraId="539BE481">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0DDE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5BF2377A">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11DA7142">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5.货物和服务贸易总额增速</w:t>
            </w:r>
          </w:p>
        </w:tc>
        <w:tc>
          <w:tcPr>
            <w:tcW w:w="900" w:type="dxa"/>
            <w:tcBorders>
              <w:top w:val="single" w:color="auto" w:sz="4" w:space="0"/>
              <w:left w:val="single" w:color="auto" w:sz="4" w:space="0"/>
              <w:bottom w:val="single" w:color="auto" w:sz="4" w:space="0"/>
              <w:right w:val="single" w:color="auto" w:sz="4" w:space="0"/>
            </w:tcBorders>
            <w:noWrap/>
            <w:vAlign w:val="center"/>
          </w:tcPr>
          <w:p w14:paraId="4074478A">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59D315FF">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1038" w:type="dxa"/>
            <w:tcBorders>
              <w:top w:val="single" w:color="auto" w:sz="4" w:space="0"/>
              <w:left w:val="single" w:color="auto" w:sz="4" w:space="0"/>
              <w:bottom w:val="single" w:color="auto" w:sz="4" w:space="0"/>
              <w:right w:val="single" w:color="auto" w:sz="4" w:space="0"/>
            </w:tcBorders>
            <w:noWrap/>
            <w:vAlign w:val="center"/>
          </w:tcPr>
          <w:p w14:paraId="1CDBEC3B">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noWrap/>
            <w:vAlign w:val="center"/>
          </w:tcPr>
          <w:p w14:paraId="221BDA10">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6</w:t>
            </w:r>
          </w:p>
        </w:tc>
        <w:tc>
          <w:tcPr>
            <w:tcW w:w="963" w:type="dxa"/>
            <w:tcBorders>
              <w:top w:val="single" w:color="auto" w:sz="4" w:space="0"/>
              <w:left w:val="single" w:color="auto" w:sz="4" w:space="0"/>
              <w:bottom w:val="single" w:color="auto" w:sz="4" w:space="0"/>
              <w:right w:val="single" w:color="auto" w:sz="4" w:space="0"/>
            </w:tcBorders>
            <w:noWrap/>
            <w:vAlign w:val="center"/>
          </w:tcPr>
          <w:p w14:paraId="2A1D37FD">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4D71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restart"/>
            <w:tcBorders>
              <w:top w:val="nil"/>
              <w:left w:val="single" w:color="auto" w:sz="4" w:space="0"/>
              <w:bottom w:val="single" w:color="auto" w:sz="4" w:space="0"/>
              <w:right w:val="single" w:color="auto" w:sz="4" w:space="0"/>
            </w:tcBorders>
            <w:noWrap/>
            <w:vAlign w:val="center"/>
          </w:tcPr>
          <w:p w14:paraId="31FC656A">
            <w:pPr>
              <w:overflowPunct w:val="0"/>
              <w:topLinePunct/>
              <w:adjustRightInd w:val="0"/>
              <w:snapToGrid w:val="0"/>
              <w:jc w:val="center"/>
              <w:rPr>
                <w:rFonts w:ascii="Times New Roman" w:hAnsi="Times New Roman"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sz w:val="20"/>
                <w:szCs w:val="20"/>
                <w14:textFill>
                  <w14:solidFill>
                    <w14:schemeClr w14:val="tx1"/>
                  </w14:solidFill>
                </w14:textFill>
              </w:rPr>
              <w:t>创新驱动</w:t>
            </w: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274235E5">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6.全社会研发经费投入强度</w:t>
            </w:r>
          </w:p>
        </w:tc>
        <w:tc>
          <w:tcPr>
            <w:tcW w:w="900" w:type="dxa"/>
            <w:tcBorders>
              <w:top w:val="single" w:color="auto" w:sz="4" w:space="0"/>
              <w:left w:val="single" w:color="auto" w:sz="4" w:space="0"/>
              <w:bottom w:val="single" w:color="auto" w:sz="4" w:space="0"/>
              <w:right w:val="single" w:color="auto" w:sz="4" w:space="0"/>
            </w:tcBorders>
            <w:noWrap/>
            <w:vAlign w:val="center"/>
          </w:tcPr>
          <w:p w14:paraId="007DC43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23777345">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0.53</w:t>
            </w:r>
          </w:p>
        </w:tc>
        <w:tc>
          <w:tcPr>
            <w:tcW w:w="1038" w:type="dxa"/>
            <w:tcBorders>
              <w:top w:val="single" w:color="auto" w:sz="4" w:space="0"/>
              <w:left w:val="single" w:color="auto" w:sz="4" w:space="0"/>
              <w:bottom w:val="single" w:color="auto" w:sz="4" w:space="0"/>
              <w:right w:val="single" w:color="auto" w:sz="4" w:space="0"/>
            </w:tcBorders>
            <w:noWrap/>
            <w:vAlign w:val="center"/>
          </w:tcPr>
          <w:p w14:paraId="74F6930B">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0.7</w:t>
            </w:r>
          </w:p>
        </w:tc>
        <w:tc>
          <w:tcPr>
            <w:tcW w:w="850" w:type="dxa"/>
            <w:tcBorders>
              <w:top w:val="single" w:color="auto" w:sz="4" w:space="0"/>
              <w:left w:val="single" w:color="auto" w:sz="4" w:space="0"/>
              <w:bottom w:val="single" w:color="auto" w:sz="4" w:space="0"/>
              <w:right w:val="single" w:color="auto" w:sz="4" w:space="0"/>
            </w:tcBorders>
            <w:noWrap/>
            <w:vAlign w:val="center"/>
          </w:tcPr>
          <w:p w14:paraId="3C02DBF8">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7C9ADFAE">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753A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4266106F">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1FEE138B">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7.每万人口发明专利拥有量</w:t>
            </w:r>
          </w:p>
        </w:tc>
        <w:tc>
          <w:tcPr>
            <w:tcW w:w="900" w:type="dxa"/>
            <w:tcBorders>
              <w:top w:val="single" w:color="auto" w:sz="4" w:space="0"/>
              <w:left w:val="single" w:color="auto" w:sz="4" w:space="0"/>
              <w:bottom w:val="single" w:color="auto" w:sz="4" w:space="0"/>
              <w:right w:val="single" w:color="auto" w:sz="4" w:space="0"/>
            </w:tcBorders>
            <w:noWrap/>
            <w:vAlign w:val="center"/>
          </w:tcPr>
          <w:p w14:paraId="43F7817A">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件</w:t>
            </w:r>
          </w:p>
        </w:tc>
        <w:tc>
          <w:tcPr>
            <w:tcW w:w="964" w:type="dxa"/>
            <w:tcBorders>
              <w:top w:val="single" w:color="auto" w:sz="4" w:space="0"/>
              <w:left w:val="single" w:color="auto" w:sz="4" w:space="0"/>
              <w:bottom w:val="single" w:color="auto" w:sz="4" w:space="0"/>
              <w:right w:val="single" w:color="auto" w:sz="4" w:space="0"/>
            </w:tcBorders>
            <w:noWrap/>
            <w:vAlign w:val="center"/>
          </w:tcPr>
          <w:p w14:paraId="1736BAB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1.32</w:t>
            </w:r>
          </w:p>
        </w:tc>
        <w:tc>
          <w:tcPr>
            <w:tcW w:w="1038" w:type="dxa"/>
            <w:tcBorders>
              <w:top w:val="single" w:color="auto" w:sz="4" w:space="0"/>
              <w:left w:val="single" w:color="auto" w:sz="4" w:space="0"/>
              <w:bottom w:val="single" w:color="auto" w:sz="4" w:space="0"/>
              <w:right w:val="single" w:color="auto" w:sz="4" w:space="0"/>
            </w:tcBorders>
            <w:noWrap/>
            <w:vAlign w:val="center"/>
          </w:tcPr>
          <w:p w14:paraId="3F7A640E">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1.5</w:t>
            </w:r>
          </w:p>
        </w:tc>
        <w:tc>
          <w:tcPr>
            <w:tcW w:w="850" w:type="dxa"/>
            <w:tcBorders>
              <w:top w:val="single" w:color="auto" w:sz="4" w:space="0"/>
              <w:left w:val="single" w:color="auto" w:sz="4" w:space="0"/>
              <w:bottom w:val="single" w:color="auto" w:sz="4" w:space="0"/>
              <w:right w:val="single" w:color="auto" w:sz="4" w:space="0"/>
            </w:tcBorders>
            <w:noWrap/>
            <w:vAlign w:val="center"/>
          </w:tcPr>
          <w:p w14:paraId="65E86363">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63D62C7D">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3F62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59" w:type="dxa"/>
            <w:vMerge w:val="continue"/>
            <w:tcBorders>
              <w:top w:val="nil"/>
              <w:left w:val="single" w:color="auto" w:sz="4" w:space="0"/>
              <w:bottom w:val="single" w:color="auto" w:sz="4" w:space="0"/>
              <w:right w:val="single" w:color="auto" w:sz="4" w:space="0"/>
            </w:tcBorders>
            <w:vAlign w:val="center"/>
          </w:tcPr>
          <w:p w14:paraId="4E2B5986">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1A9FF46B">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8.规上数字经济核心产业增加值占地区生产总值比重</w:t>
            </w:r>
          </w:p>
        </w:tc>
        <w:tc>
          <w:tcPr>
            <w:tcW w:w="900" w:type="dxa"/>
            <w:tcBorders>
              <w:top w:val="single" w:color="auto" w:sz="4" w:space="0"/>
              <w:left w:val="single" w:color="auto" w:sz="4" w:space="0"/>
              <w:bottom w:val="single" w:color="auto" w:sz="4" w:space="0"/>
              <w:right w:val="single" w:color="auto" w:sz="4" w:space="0"/>
            </w:tcBorders>
            <w:noWrap/>
            <w:vAlign w:val="center"/>
          </w:tcPr>
          <w:p w14:paraId="6151A61F">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050A50D1">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1038" w:type="dxa"/>
            <w:tcBorders>
              <w:top w:val="single" w:color="auto" w:sz="4" w:space="0"/>
              <w:left w:val="single" w:color="auto" w:sz="4" w:space="0"/>
              <w:bottom w:val="single" w:color="auto" w:sz="4" w:space="0"/>
              <w:right w:val="single" w:color="auto" w:sz="4" w:space="0"/>
            </w:tcBorders>
            <w:noWrap/>
            <w:vAlign w:val="center"/>
          </w:tcPr>
          <w:p w14:paraId="7148F7BF">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1.59</w:t>
            </w:r>
          </w:p>
        </w:tc>
        <w:tc>
          <w:tcPr>
            <w:tcW w:w="850" w:type="dxa"/>
            <w:tcBorders>
              <w:top w:val="single" w:color="auto" w:sz="4" w:space="0"/>
              <w:left w:val="single" w:color="auto" w:sz="4" w:space="0"/>
              <w:bottom w:val="single" w:color="auto" w:sz="4" w:space="0"/>
              <w:right w:val="single" w:color="auto" w:sz="4" w:space="0"/>
            </w:tcBorders>
            <w:noWrap/>
            <w:vAlign w:val="center"/>
          </w:tcPr>
          <w:p w14:paraId="583D6154">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282CE432">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140C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restart"/>
            <w:tcBorders>
              <w:top w:val="single" w:color="auto" w:sz="4" w:space="0"/>
              <w:left w:val="single" w:color="auto" w:sz="4" w:space="0"/>
              <w:bottom w:val="single" w:color="auto" w:sz="4" w:space="0"/>
              <w:right w:val="single" w:color="auto" w:sz="4" w:space="0"/>
            </w:tcBorders>
            <w:noWrap/>
            <w:vAlign w:val="center"/>
          </w:tcPr>
          <w:p w14:paraId="1C0501D7">
            <w:pPr>
              <w:overflowPunct w:val="0"/>
              <w:topLinePunct/>
              <w:adjustRightInd w:val="0"/>
              <w:snapToGrid w:val="0"/>
              <w:jc w:val="center"/>
              <w:textAlignment w:val="center"/>
              <w:rPr>
                <w:rFonts w:ascii="Times New Roman" w:hAnsi="Times New Roman"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sz w:val="20"/>
                <w:szCs w:val="20"/>
                <w14:textFill>
                  <w14:solidFill>
                    <w14:schemeClr w14:val="tx1"/>
                  </w14:solidFill>
                </w14:textFill>
              </w:rPr>
              <w:t>民生福祉</w:t>
            </w: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79DE4B5D">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9.城镇新增就业</w:t>
            </w:r>
          </w:p>
        </w:tc>
        <w:tc>
          <w:tcPr>
            <w:tcW w:w="900" w:type="dxa"/>
            <w:tcBorders>
              <w:top w:val="single" w:color="auto" w:sz="4" w:space="0"/>
              <w:left w:val="single" w:color="auto" w:sz="4" w:space="0"/>
              <w:bottom w:val="single" w:color="auto" w:sz="4" w:space="0"/>
              <w:right w:val="single" w:color="auto" w:sz="4" w:space="0"/>
            </w:tcBorders>
            <w:noWrap/>
            <w:vAlign w:val="center"/>
          </w:tcPr>
          <w:p w14:paraId="11B2C854">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万人</w:t>
            </w:r>
          </w:p>
        </w:tc>
        <w:tc>
          <w:tcPr>
            <w:tcW w:w="964" w:type="dxa"/>
            <w:tcBorders>
              <w:top w:val="single" w:color="auto" w:sz="4" w:space="0"/>
              <w:left w:val="single" w:color="auto" w:sz="4" w:space="0"/>
              <w:bottom w:val="single" w:color="auto" w:sz="4" w:space="0"/>
              <w:right w:val="single" w:color="auto" w:sz="4" w:space="0"/>
            </w:tcBorders>
            <w:noWrap/>
            <w:vAlign w:val="center"/>
          </w:tcPr>
          <w:p w14:paraId="272028EB">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2.21</w:t>
            </w:r>
          </w:p>
        </w:tc>
        <w:tc>
          <w:tcPr>
            <w:tcW w:w="1038" w:type="dxa"/>
            <w:tcBorders>
              <w:top w:val="single" w:color="auto" w:sz="4" w:space="0"/>
              <w:left w:val="single" w:color="auto" w:sz="4" w:space="0"/>
              <w:bottom w:val="single" w:color="auto" w:sz="4" w:space="0"/>
              <w:right w:val="single" w:color="auto" w:sz="4" w:space="0"/>
            </w:tcBorders>
            <w:noWrap/>
            <w:vAlign w:val="center"/>
          </w:tcPr>
          <w:p w14:paraId="40D7B9AD">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850" w:type="dxa"/>
            <w:tcBorders>
              <w:top w:val="single" w:color="auto" w:sz="4" w:space="0"/>
              <w:left w:val="single" w:color="auto" w:sz="4" w:space="0"/>
              <w:bottom w:val="single" w:color="auto" w:sz="4" w:space="0"/>
              <w:right w:val="single" w:color="auto" w:sz="4" w:space="0"/>
            </w:tcBorders>
            <w:noWrap/>
            <w:vAlign w:val="center"/>
          </w:tcPr>
          <w:p w14:paraId="219623C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4E321B68">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0B90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783EB390">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773BD8AE">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10.居民人均可支配收入增速</w:t>
            </w:r>
          </w:p>
        </w:tc>
        <w:tc>
          <w:tcPr>
            <w:tcW w:w="900" w:type="dxa"/>
            <w:tcBorders>
              <w:top w:val="single" w:color="auto" w:sz="4" w:space="0"/>
              <w:left w:val="single" w:color="auto" w:sz="4" w:space="0"/>
              <w:bottom w:val="single" w:color="auto" w:sz="4" w:space="0"/>
              <w:right w:val="single" w:color="auto" w:sz="4" w:space="0"/>
            </w:tcBorders>
            <w:noWrap/>
            <w:vAlign w:val="center"/>
          </w:tcPr>
          <w:p w14:paraId="20765192">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2AA647B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6.2</w:t>
            </w:r>
          </w:p>
        </w:tc>
        <w:tc>
          <w:tcPr>
            <w:tcW w:w="1038" w:type="dxa"/>
            <w:tcBorders>
              <w:top w:val="single" w:color="auto" w:sz="4" w:space="0"/>
              <w:left w:val="single" w:color="auto" w:sz="4" w:space="0"/>
              <w:bottom w:val="single" w:color="auto" w:sz="4" w:space="0"/>
              <w:right w:val="single" w:color="auto" w:sz="4" w:space="0"/>
            </w:tcBorders>
            <w:noWrap/>
            <w:vAlign w:val="center"/>
          </w:tcPr>
          <w:p w14:paraId="469D7F82">
            <w:pPr>
              <w:overflowPunct w:val="0"/>
              <w:topLinePunct/>
              <w:adjustRightInd w:val="0"/>
              <w:snapToGrid w:val="0"/>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5.5以上</w:t>
            </w:r>
          </w:p>
        </w:tc>
        <w:tc>
          <w:tcPr>
            <w:tcW w:w="850" w:type="dxa"/>
            <w:tcBorders>
              <w:top w:val="single" w:color="auto" w:sz="4" w:space="0"/>
              <w:left w:val="single" w:color="auto" w:sz="4" w:space="0"/>
              <w:bottom w:val="single" w:color="auto" w:sz="4" w:space="0"/>
              <w:right w:val="single" w:color="auto" w:sz="4" w:space="0"/>
            </w:tcBorders>
            <w:vAlign w:val="center"/>
          </w:tcPr>
          <w:p w14:paraId="58B5E870">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vAlign w:val="center"/>
          </w:tcPr>
          <w:p w14:paraId="00DB2D15">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7552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771B9ED8">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1500" w:type="dxa"/>
            <w:vMerge w:val="restart"/>
            <w:tcBorders>
              <w:top w:val="nil"/>
              <w:left w:val="single" w:color="auto" w:sz="4" w:space="0"/>
              <w:right w:val="single" w:color="auto" w:sz="4" w:space="0"/>
            </w:tcBorders>
            <w:noWrap/>
            <w:vAlign w:val="center"/>
          </w:tcPr>
          <w:p w14:paraId="1B9BE0A6">
            <w:pPr>
              <w:overflowPunct w:val="0"/>
              <w:topLinePunct/>
              <w:adjustRightInd w:val="0"/>
              <w:snapToGrid w:val="0"/>
              <w:jc w:val="left"/>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11.每千人拥有医护人员数</w:t>
            </w:r>
          </w:p>
        </w:tc>
        <w:tc>
          <w:tcPr>
            <w:tcW w:w="1864" w:type="dxa"/>
            <w:tcBorders>
              <w:top w:val="single" w:color="auto" w:sz="4" w:space="0"/>
              <w:left w:val="single" w:color="auto" w:sz="4" w:space="0"/>
              <w:bottom w:val="single" w:color="auto" w:sz="4" w:space="0"/>
              <w:right w:val="single" w:color="auto" w:sz="4" w:space="0"/>
            </w:tcBorders>
            <w:noWrap/>
            <w:vAlign w:val="center"/>
          </w:tcPr>
          <w:p w14:paraId="2F0FCCCB">
            <w:pPr>
              <w:overflowPunct w:val="0"/>
              <w:topLinePunct/>
              <w:adjustRightInd w:val="0"/>
              <w:snapToGrid w:val="0"/>
              <w:jc w:val="left"/>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执业医师数</w:t>
            </w:r>
          </w:p>
        </w:tc>
        <w:tc>
          <w:tcPr>
            <w:tcW w:w="900" w:type="dxa"/>
            <w:tcBorders>
              <w:top w:val="nil"/>
              <w:left w:val="single" w:color="auto" w:sz="4" w:space="0"/>
              <w:bottom w:val="single" w:color="auto" w:sz="4" w:space="0"/>
              <w:right w:val="single" w:color="auto" w:sz="4" w:space="0"/>
            </w:tcBorders>
            <w:noWrap/>
            <w:vAlign w:val="center"/>
          </w:tcPr>
          <w:p w14:paraId="75C862E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人</w:t>
            </w:r>
          </w:p>
        </w:tc>
        <w:tc>
          <w:tcPr>
            <w:tcW w:w="964" w:type="dxa"/>
            <w:tcBorders>
              <w:top w:val="nil"/>
              <w:left w:val="single" w:color="auto" w:sz="4" w:space="0"/>
              <w:bottom w:val="single" w:color="auto" w:sz="4" w:space="0"/>
              <w:right w:val="single" w:color="auto" w:sz="4" w:space="0"/>
            </w:tcBorders>
            <w:noWrap/>
            <w:vAlign w:val="center"/>
          </w:tcPr>
          <w:p w14:paraId="1EE8EC42">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 </w:t>
            </w:r>
          </w:p>
        </w:tc>
        <w:tc>
          <w:tcPr>
            <w:tcW w:w="1038" w:type="dxa"/>
            <w:tcBorders>
              <w:top w:val="nil"/>
              <w:left w:val="single" w:color="auto" w:sz="4" w:space="0"/>
              <w:bottom w:val="single" w:color="auto" w:sz="4" w:space="0"/>
              <w:right w:val="single" w:color="auto" w:sz="4" w:space="0"/>
            </w:tcBorders>
            <w:noWrap/>
            <w:vAlign w:val="center"/>
          </w:tcPr>
          <w:p w14:paraId="2C46798F">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3.7</w:t>
            </w:r>
          </w:p>
        </w:tc>
        <w:tc>
          <w:tcPr>
            <w:tcW w:w="850" w:type="dxa"/>
            <w:tcBorders>
              <w:top w:val="nil"/>
              <w:left w:val="single" w:color="auto" w:sz="4" w:space="0"/>
              <w:bottom w:val="single" w:color="auto" w:sz="4" w:space="0"/>
              <w:right w:val="single" w:color="auto" w:sz="4" w:space="0"/>
            </w:tcBorders>
            <w:vAlign w:val="center"/>
          </w:tcPr>
          <w:p w14:paraId="7E0EB51A">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vMerge w:val="restart"/>
            <w:tcBorders>
              <w:top w:val="single" w:color="auto" w:sz="4" w:space="0"/>
              <w:left w:val="single" w:color="auto" w:sz="4" w:space="0"/>
              <w:right w:val="single" w:color="auto" w:sz="4" w:space="0"/>
            </w:tcBorders>
            <w:vAlign w:val="center"/>
          </w:tcPr>
          <w:p w14:paraId="5FCA92E3">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406D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5CCE6CE6">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1500" w:type="dxa"/>
            <w:vMerge w:val="continue"/>
            <w:tcBorders>
              <w:left w:val="single" w:color="auto" w:sz="4" w:space="0"/>
              <w:bottom w:val="single" w:color="auto" w:sz="4" w:space="0"/>
              <w:right w:val="single" w:color="auto" w:sz="4" w:space="0"/>
            </w:tcBorders>
            <w:noWrap/>
            <w:vAlign w:val="center"/>
          </w:tcPr>
          <w:p w14:paraId="43AF113D">
            <w:pPr>
              <w:overflowPunct w:val="0"/>
              <w:topLinePunct/>
              <w:adjustRightInd w:val="0"/>
              <w:snapToGrid w:val="0"/>
              <w:jc w:val="left"/>
              <w:textAlignment w:val="center"/>
              <w:rPr>
                <w:rFonts w:ascii="宋体" w:hAnsi="宋体" w:eastAsia="宋体" w:cs="宋体"/>
                <w:color w:val="000000" w:themeColor="text1"/>
                <w:kern w:val="0"/>
                <w:sz w:val="20"/>
                <w:szCs w:val="20"/>
                <w14:textFill>
                  <w14:solidFill>
                    <w14:schemeClr w14:val="tx1"/>
                  </w14:solidFill>
                </w14:textFill>
              </w:rPr>
            </w:pPr>
          </w:p>
        </w:tc>
        <w:tc>
          <w:tcPr>
            <w:tcW w:w="1864" w:type="dxa"/>
            <w:tcBorders>
              <w:top w:val="single" w:color="auto" w:sz="4" w:space="0"/>
              <w:left w:val="single" w:color="auto" w:sz="4" w:space="0"/>
              <w:bottom w:val="single" w:color="auto" w:sz="4" w:space="0"/>
              <w:right w:val="single" w:color="auto" w:sz="4" w:space="0"/>
            </w:tcBorders>
            <w:noWrap/>
            <w:vAlign w:val="center"/>
          </w:tcPr>
          <w:p w14:paraId="5D926E77">
            <w:pPr>
              <w:overflowPunct w:val="0"/>
              <w:topLinePunct/>
              <w:adjustRightInd w:val="0"/>
              <w:snapToGrid w:val="0"/>
              <w:jc w:val="left"/>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注册护士数</w:t>
            </w:r>
          </w:p>
        </w:tc>
        <w:tc>
          <w:tcPr>
            <w:tcW w:w="900" w:type="dxa"/>
            <w:tcBorders>
              <w:top w:val="nil"/>
              <w:left w:val="single" w:color="auto" w:sz="4" w:space="0"/>
              <w:bottom w:val="single" w:color="auto" w:sz="4" w:space="0"/>
              <w:right w:val="single" w:color="auto" w:sz="4" w:space="0"/>
            </w:tcBorders>
            <w:noWrap/>
            <w:vAlign w:val="center"/>
          </w:tcPr>
          <w:p w14:paraId="68A218B0">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人</w:t>
            </w:r>
          </w:p>
        </w:tc>
        <w:tc>
          <w:tcPr>
            <w:tcW w:w="964" w:type="dxa"/>
            <w:tcBorders>
              <w:top w:val="nil"/>
              <w:left w:val="single" w:color="auto" w:sz="4" w:space="0"/>
              <w:bottom w:val="single" w:color="auto" w:sz="4" w:space="0"/>
              <w:right w:val="single" w:color="auto" w:sz="4" w:space="0"/>
            </w:tcBorders>
            <w:noWrap/>
            <w:vAlign w:val="center"/>
          </w:tcPr>
          <w:p w14:paraId="7B305E5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1038" w:type="dxa"/>
            <w:tcBorders>
              <w:top w:val="nil"/>
              <w:left w:val="single" w:color="auto" w:sz="4" w:space="0"/>
              <w:bottom w:val="single" w:color="auto" w:sz="4" w:space="0"/>
              <w:right w:val="single" w:color="auto" w:sz="4" w:space="0"/>
            </w:tcBorders>
            <w:noWrap/>
            <w:vAlign w:val="center"/>
          </w:tcPr>
          <w:p w14:paraId="200C7F36">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4.7</w:t>
            </w:r>
          </w:p>
        </w:tc>
        <w:tc>
          <w:tcPr>
            <w:tcW w:w="850" w:type="dxa"/>
            <w:tcBorders>
              <w:top w:val="nil"/>
              <w:left w:val="single" w:color="auto" w:sz="4" w:space="0"/>
              <w:bottom w:val="single" w:color="auto" w:sz="4" w:space="0"/>
              <w:right w:val="single" w:color="auto" w:sz="4" w:space="0"/>
            </w:tcBorders>
            <w:vAlign w:val="center"/>
          </w:tcPr>
          <w:p w14:paraId="2353A8C4">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vMerge w:val="continue"/>
            <w:tcBorders>
              <w:left w:val="single" w:color="auto" w:sz="4" w:space="0"/>
              <w:bottom w:val="single" w:color="auto" w:sz="4" w:space="0"/>
              <w:right w:val="single" w:color="auto" w:sz="4" w:space="0"/>
            </w:tcBorders>
            <w:vAlign w:val="center"/>
          </w:tcPr>
          <w:p w14:paraId="52C59D11">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p>
        </w:tc>
      </w:tr>
      <w:tr w14:paraId="71C9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605B16A8">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179717F6">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12.养老机构护理型床位占比</w:t>
            </w:r>
          </w:p>
        </w:tc>
        <w:tc>
          <w:tcPr>
            <w:tcW w:w="900" w:type="dxa"/>
            <w:tcBorders>
              <w:top w:val="single" w:color="auto" w:sz="4" w:space="0"/>
              <w:left w:val="single" w:color="auto" w:sz="4" w:space="0"/>
              <w:bottom w:val="single" w:color="auto" w:sz="4" w:space="0"/>
              <w:right w:val="single" w:color="auto" w:sz="4" w:space="0"/>
            </w:tcBorders>
            <w:noWrap/>
            <w:vAlign w:val="center"/>
          </w:tcPr>
          <w:p w14:paraId="2B85E769">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52F99791">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60</w:t>
            </w:r>
          </w:p>
        </w:tc>
        <w:tc>
          <w:tcPr>
            <w:tcW w:w="1038" w:type="dxa"/>
            <w:tcBorders>
              <w:top w:val="single" w:color="auto" w:sz="4" w:space="0"/>
              <w:left w:val="single" w:color="auto" w:sz="4" w:space="0"/>
              <w:bottom w:val="single" w:color="auto" w:sz="4" w:space="0"/>
              <w:right w:val="single" w:color="auto" w:sz="4" w:space="0"/>
            </w:tcBorders>
            <w:noWrap/>
            <w:vAlign w:val="center"/>
          </w:tcPr>
          <w:p w14:paraId="35DF7E8F">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70</w:t>
            </w:r>
          </w:p>
        </w:tc>
        <w:tc>
          <w:tcPr>
            <w:tcW w:w="850" w:type="dxa"/>
            <w:tcBorders>
              <w:top w:val="single" w:color="auto" w:sz="4" w:space="0"/>
              <w:left w:val="single" w:color="auto" w:sz="4" w:space="0"/>
              <w:bottom w:val="single" w:color="auto" w:sz="4" w:space="0"/>
              <w:right w:val="single" w:color="auto" w:sz="4" w:space="0"/>
            </w:tcBorders>
            <w:noWrap/>
            <w:vAlign w:val="center"/>
          </w:tcPr>
          <w:p w14:paraId="61D2DD5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4DD97256">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5B5F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50C15F80">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0AED685A">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13.3岁以下婴幼儿入托率</w:t>
            </w:r>
          </w:p>
        </w:tc>
        <w:tc>
          <w:tcPr>
            <w:tcW w:w="900" w:type="dxa"/>
            <w:tcBorders>
              <w:top w:val="single" w:color="auto" w:sz="4" w:space="0"/>
              <w:left w:val="single" w:color="auto" w:sz="4" w:space="0"/>
              <w:bottom w:val="single" w:color="auto" w:sz="4" w:space="0"/>
              <w:right w:val="single" w:color="auto" w:sz="4" w:space="0"/>
            </w:tcBorders>
            <w:noWrap/>
            <w:vAlign w:val="center"/>
          </w:tcPr>
          <w:p w14:paraId="6E39F0F2">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654905F9">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6.59</w:t>
            </w:r>
          </w:p>
        </w:tc>
        <w:tc>
          <w:tcPr>
            <w:tcW w:w="1038" w:type="dxa"/>
            <w:tcBorders>
              <w:top w:val="single" w:color="auto" w:sz="4" w:space="0"/>
              <w:left w:val="single" w:color="auto" w:sz="4" w:space="0"/>
              <w:bottom w:val="single" w:color="auto" w:sz="4" w:space="0"/>
              <w:right w:val="single" w:color="auto" w:sz="4" w:space="0"/>
            </w:tcBorders>
            <w:noWrap/>
            <w:vAlign w:val="center"/>
          </w:tcPr>
          <w:p w14:paraId="1C3F4296">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13.6</w:t>
            </w:r>
          </w:p>
        </w:tc>
        <w:tc>
          <w:tcPr>
            <w:tcW w:w="850" w:type="dxa"/>
            <w:tcBorders>
              <w:top w:val="single" w:color="auto" w:sz="4" w:space="0"/>
              <w:left w:val="single" w:color="auto" w:sz="4" w:space="0"/>
              <w:bottom w:val="single" w:color="auto" w:sz="4" w:space="0"/>
              <w:right w:val="single" w:color="auto" w:sz="4" w:space="0"/>
            </w:tcBorders>
            <w:noWrap/>
            <w:vAlign w:val="center"/>
          </w:tcPr>
          <w:p w14:paraId="06E47259">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6326AC96">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6A8A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jc w:val="center"/>
        </w:trPr>
        <w:tc>
          <w:tcPr>
            <w:tcW w:w="759" w:type="dxa"/>
            <w:vMerge w:val="continue"/>
            <w:tcBorders>
              <w:top w:val="nil"/>
              <w:left w:val="single" w:color="auto" w:sz="4" w:space="0"/>
              <w:bottom w:val="single" w:color="auto" w:sz="4" w:space="0"/>
              <w:right w:val="single" w:color="auto" w:sz="4" w:space="0"/>
            </w:tcBorders>
            <w:vAlign w:val="center"/>
          </w:tcPr>
          <w:p w14:paraId="50D53F01">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0DD80880">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14.人均预期寿命</w:t>
            </w:r>
          </w:p>
        </w:tc>
        <w:tc>
          <w:tcPr>
            <w:tcW w:w="900" w:type="dxa"/>
            <w:tcBorders>
              <w:top w:val="single" w:color="auto" w:sz="4" w:space="0"/>
              <w:left w:val="single" w:color="auto" w:sz="4" w:space="0"/>
              <w:bottom w:val="single" w:color="auto" w:sz="4" w:space="0"/>
              <w:right w:val="single" w:color="auto" w:sz="4" w:space="0"/>
            </w:tcBorders>
            <w:noWrap/>
            <w:vAlign w:val="center"/>
          </w:tcPr>
          <w:p w14:paraId="383F5046">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岁</w:t>
            </w:r>
          </w:p>
        </w:tc>
        <w:tc>
          <w:tcPr>
            <w:tcW w:w="964" w:type="dxa"/>
            <w:tcBorders>
              <w:top w:val="single" w:color="auto" w:sz="4" w:space="0"/>
              <w:left w:val="single" w:color="auto" w:sz="4" w:space="0"/>
              <w:bottom w:val="single" w:color="auto" w:sz="4" w:space="0"/>
              <w:right w:val="single" w:color="auto" w:sz="4" w:space="0"/>
            </w:tcBorders>
            <w:noWrap/>
            <w:vAlign w:val="center"/>
          </w:tcPr>
          <w:p w14:paraId="0A9BA42B">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79.01</w:t>
            </w:r>
          </w:p>
        </w:tc>
        <w:tc>
          <w:tcPr>
            <w:tcW w:w="1038" w:type="dxa"/>
            <w:tcBorders>
              <w:top w:val="single" w:color="auto" w:sz="4" w:space="0"/>
              <w:left w:val="single" w:color="auto" w:sz="4" w:space="0"/>
              <w:bottom w:val="single" w:color="auto" w:sz="4" w:space="0"/>
              <w:right w:val="single" w:color="auto" w:sz="4" w:space="0"/>
            </w:tcBorders>
            <w:noWrap/>
            <w:vAlign w:val="center"/>
          </w:tcPr>
          <w:p w14:paraId="10B83C0B">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80</w:t>
            </w:r>
          </w:p>
        </w:tc>
        <w:tc>
          <w:tcPr>
            <w:tcW w:w="850" w:type="dxa"/>
            <w:tcBorders>
              <w:top w:val="single" w:color="auto" w:sz="4" w:space="0"/>
              <w:left w:val="single" w:color="auto" w:sz="4" w:space="0"/>
              <w:bottom w:val="single" w:color="auto" w:sz="4" w:space="0"/>
              <w:right w:val="single" w:color="auto" w:sz="4" w:space="0"/>
            </w:tcBorders>
            <w:noWrap/>
            <w:vAlign w:val="center"/>
          </w:tcPr>
          <w:p w14:paraId="640D2F12">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540F97D1">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预期性</w:t>
            </w:r>
          </w:p>
        </w:tc>
      </w:tr>
      <w:tr w14:paraId="321D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59" w:type="dxa"/>
            <w:vMerge w:val="restart"/>
            <w:tcBorders>
              <w:top w:val="nil"/>
              <w:left w:val="single" w:color="auto" w:sz="4" w:space="0"/>
              <w:right w:val="single" w:color="auto" w:sz="4" w:space="0"/>
            </w:tcBorders>
            <w:noWrap/>
            <w:vAlign w:val="center"/>
          </w:tcPr>
          <w:p w14:paraId="5DFB7942">
            <w:pPr>
              <w:widowControl/>
              <w:jc w:val="center"/>
              <w:rPr>
                <w:rFonts w:ascii="Times New Roman" w:hAnsi="Times New Roman" w:eastAsia="宋体"/>
                <w:b/>
                <w:bCs/>
                <w:color w:val="000000" w:themeColor="text1"/>
                <w:sz w:val="20"/>
                <w:szCs w:val="20"/>
                <w14:textFill>
                  <w14:solidFill>
                    <w14:schemeClr w14:val="tx1"/>
                  </w14:solidFill>
                </w14:textFill>
              </w:rPr>
            </w:pPr>
            <w:r>
              <w:rPr>
                <w:rFonts w:hint="eastAsia" w:ascii="Times New Roman" w:hAnsi="Times New Roman" w:eastAsia="宋体"/>
                <w:b/>
                <w:bCs/>
                <w:color w:val="000000" w:themeColor="text1"/>
                <w:sz w:val="20"/>
                <w:szCs w:val="20"/>
                <w14:textFill>
                  <w14:solidFill>
                    <w14:schemeClr w14:val="tx1"/>
                  </w14:solidFill>
                </w14:textFill>
              </w:rPr>
              <w:t>绿色发展</w:t>
            </w: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19864BB3">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15.单位地区生产总值二氧化碳排放降低</w:t>
            </w:r>
          </w:p>
        </w:tc>
        <w:tc>
          <w:tcPr>
            <w:tcW w:w="900" w:type="dxa"/>
            <w:tcBorders>
              <w:top w:val="single" w:color="auto" w:sz="4" w:space="0"/>
              <w:left w:val="single" w:color="auto" w:sz="4" w:space="0"/>
              <w:bottom w:val="single" w:color="auto" w:sz="4" w:space="0"/>
              <w:right w:val="single" w:color="auto" w:sz="4" w:space="0"/>
            </w:tcBorders>
            <w:noWrap/>
            <w:vAlign w:val="center"/>
          </w:tcPr>
          <w:p w14:paraId="07EAC9AC">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4DBFCD11">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1038" w:type="dxa"/>
            <w:tcBorders>
              <w:top w:val="single" w:color="auto" w:sz="4" w:space="0"/>
              <w:left w:val="single" w:color="auto" w:sz="4" w:space="0"/>
              <w:bottom w:val="single" w:color="auto" w:sz="4" w:space="0"/>
              <w:right w:val="single" w:color="auto" w:sz="4" w:space="0"/>
            </w:tcBorders>
            <w:noWrap/>
            <w:vAlign w:val="center"/>
          </w:tcPr>
          <w:p w14:paraId="7C621ED8">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完成省上下达目标</w:t>
            </w:r>
          </w:p>
        </w:tc>
        <w:tc>
          <w:tcPr>
            <w:tcW w:w="850" w:type="dxa"/>
            <w:tcBorders>
              <w:top w:val="single" w:color="auto" w:sz="4" w:space="0"/>
              <w:left w:val="single" w:color="auto" w:sz="4" w:space="0"/>
              <w:bottom w:val="single" w:color="auto" w:sz="4" w:space="0"/>
              <w:right w:val="single" w:color="auto" w:sz="4" w:space="0"/>
            </w:tcBorders>
            <w:noWrap/>
            <w:vAlign w:val="center"/>
          </w:tcPr>
          <w:p w14:paraId="18A00B41">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21A6A048">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约束性</w:t>
            </w:r>
          </w:p>
        </w:tc>
      </w:tr>
      <w:tr w14:paraId="09E2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jc w:val="center"/>
        </w:trPr>
        <w:tc>
          <w:tcPr>
            <w:tcW w:w="759" w:type="dxa"/>
            <w:vMerge w:val="continue"/>
            <w:tcBorders>
              <w:left w:val="single" w:color="auto" w:sz="4" w:space="0"/>
              <w:right w:val="single" w:color="auto" w:sz="4" w:space="0"/>
            </w:tcBorders>
            <w:vAlign w:val="center"/>
          </w:tcPr>
          <w:p w14:paraId="13B8C105">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6F7A8615">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16.非化石能源占能源消费总量比重</w:t>
            </w:r>
          </w:p>
        </w:tc>
        <w:tc>
          <w:tcPr>
            <w:tcW w:w="900" w:type="dxa"/>
            <w:tcBorders>
              <w:top w:val="single" w:color="auto" w:sz="4" w:space="0"/>
              <w:left w:val="single" w:color="auto" w:sz="4" w:space="0"/>
              <w:bottom w:val="single" w:color="auto" w:sz="4" w:space="0"/>
              <w:right w:val="single" w:color="auto" w:sz="4" w:space="0"/>
            </w:tcBorders>
            <w:noWrap/>
            <w:vAlign w:val="center"/>
          </w:tcPr>
          <w:p w14:paraId="058CC1D3">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0B7F799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1038" w:type="dxa"/>
            <w:tcBorders>
              <w:top w:val="single" w:color="auto" w:sz="4" w:space="0"/>
              <w:left w:val="single" w:color="auto" w:sz="4" w:space="0"/>
              <w:bottom w:val="single" w:color="auto" w:sz="4" w:space="0"/>
              <w:right w:val="single" w:color="auto" w:sz="4" w:space="0"/>
            </w:tcBorders>
            <w:noWrap/>
            <w:vAlign w:val="center"/>
          </w:tcPr>
          <w:p w14:paraId="6EDBD0B8">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完成省上下达目标</w:t>
            </w:r>
          </w:p>
        </w:tc>
        <w:tc>
          <w:tcPr>
            <w:tcW w:w="850" w:type="dxa"/>
            <w:tcBorders>
              <w:top w:val="single" w:color="auto" w:sz="4" w:space="0"/>
              <w:left w:val="single" w:color="auto" w:sz="4" w:space="0"/>
              <w:bottom w:val="single" w:color="auto" w:sz="4" w:space="0"/>
              <w:right w:val="single" w:color="auto" w:sz="4" w:space="0"/>
            </w:tcBorders>
            <w:noWrap/>
            <w:vAlign w:val="center"/>
          </w:tcPr>
          <w:p w14:paraId="2B048F02">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5DCBBF75">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约束性</w:t>
            </w:r>
          </w:p>
        </w:tc>
      </w:tr>
      <w:tr w14:paraId="0AC0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59" w:type="dxa"/>
            <w:vMerge w:val="continue"/>
            <w:tcBorders>
              <w:left w:val="single" w:color="auto" w:sz="4" w:space="0"/>
              <w:right w:val="single" w:color="auto" w:sz="4" w:space="0"/>
            </w:tcBorders>
            <w:vAlign w:val="center"/>
          </w:tcPr>
          <w:p w14:paraId="16E3FC6B">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57F8EFA0">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17.城市细颗粒物（</w:t>
            </w:r>
            <w:r>
              <w:rPr>
                <w:rFonts w:ascii="Times New Roman" w:hAnsi="Times New Roman" w:eastAsia="宋体" w:cs="Times New Roman"/>
                <w:color w:val="000000" w:themeColor="text1"/>
                <w:sz w:val="24"/>
                <w:szCs w:val="24"/>
                <w14:textFill>
                  <w14:solidFill>
                    <w14:schemeClr w14:val="tx1"/>
                  </w14:solidFill>
                </w14:textFill>
              </w:rPr>
              <w:t>PM</w:t>
            </w:r>
            <w:r>
              <w:rPr>
                <w:rFonts w:ascii="Times New Roman" w:hAnsi="Times New Roman" w:eastAsia="宋体" w:cs="Times New Roman"/>
                <w:color w:val="000000" w:themeColor="text1"/>
                <w:sz w:val="24"/>
                <w:szCs w:val="24"/>
                <w:vertAlign w:val="subscript"/>
                <w14:textFill>
                  <w14:solidFill>
                    <w14:schemeClr w14:val="tx1"/>
                  </w14:solidFill>
                </w14:textFill>
              </w:rPr>
              <w:t>2.5</w:t>
            </w:r>
            <w:r>
              <w:rPr>
                <w:rFonts w:hint="eastAsia" w:ascii="宋体" w:hAnsi="宋体" w:eastAsia="宋体" w:cs="宋体"/>
                <w:color w:val="000000" w:themeColor="text1"/>
                <w:sz w:val="20"/>
                <w:szCs w:val="20"/>
                <w14:textFill>
                  <w14:solidFill>
                    <w14:schemeClr w14:val="tx1"/>
                  </w14:solidFill>
                </w14:textFill>
              </w:rPr>
              <w:t>）浓度</w:t>
            </w:r>
          </w:p>
        </w:tc>
        <w:tc>
          <w:tcPr>
            <w:tcW w:w="900" w:type="dxa"/>
            <w:tcBorders>
              <w:top w:val="single" w:color="auto" w:sz="4" w:space="0"/>
              <w:left w:val="single" w:color="auto" w:sz="4" w:space="0"/>
              <w:bottom w:val="single" w:color="auto" w:sz="4" w:space="0"/>
              <w:right w:val="single" w:color="auto" w:sz="4" w:space="0"/>
            </w:tcBorders>
            <w:noWrap/>
            <w:vAlign w:val="center"/>
          </w:tcPr>
          <w:p w14:paraId="6876714B">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微克/立方米</w:t>
            </w:r>
          </w:p>
        </w:tc>
        <w:tc>
          <w:tcPr>
            <w:tcW w:w="964" w:type="dxa"/>
            <w:tcBorders>
              <w:top w:val="single" w:color="auto" w:sz="4" w:space="0"/>
              <w:left w:val="single" w:color="auto" w:sz="4" w:space="0"/>
              <w:bottom w:val="single" w:color="auto" w:sz="4" w:space="0"/>
              <w:right w:val="single" w:color="auto" w:sz="4" w:space="0"/>
            </w:tcBorders>
            <w:noWrap/>
            <w:vAlign w:val="center"/>
          </w:tcPr>
          <w:p w14:paraId="7382A7C3">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25</w:t>
            </w:r>
          </w:p>
        </w:tc>
        <w:tc>
          <w:tcPr>
            <w:tcW w:w="1038" w:type="dxa"/>
            <w:tcBorders>
              <w:top w:val="single" w:color="auto" w:sz="4" w:space="0"/>
              <w:left w:val="single" w:color="auto" w:sz="4" w:space="0"/>
              <w:bottom w:val="single" w:color="auto" w:sz="4" w:space="0"/>
              <w:right w:val="single" w:color="auto" w:sz="4" w:space="0"/>
            </w:tcBorders>
            <w:noWrap/>
            <w:vAlign w:val="center"/>
          </w:tcPr>
          <w:p w14:paraId="48E9F6C6">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完成省上下达目标</w:t>
            </w:r>
          </w:p>
        </w:tc>
        <w:tc>
          <w:tcPr>
            <w:tcW w:w="850" w:type="dxa"/>
            <w:tcBorders>
              <w:top w:val="single" w:color="auto" w:sz="4" w:space="0"/>
              <w:left w:val="single" w:color="auto" w:sz="4" w:space="0"/>
              <w:bottom w:val="single" w:color="auto" w:sz="4" w:space="0"/>
              <w:right w:val="single" w:color="auto" w:sz="4" w:space="0"/>
            </w:tcBorders>
            <w:noWrap/>
            <w:vAlign w:val="center"/>
          </w:tcPr>
          <w:p w14:paraId="11F8F626">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204C7B82">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约束性</w:t>
            </w:r>
          </w:p>
        </w:tc>
      </w:tr>
      <w:tr w14:paraId="5BB8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left w:val="single" w:color="auto" w:sz="4" w:space="0"/>
              <w:right w:val="single" w:color="auto" w:sz="4" w:space="0"/>
            </w:tcBorders>
            <w:vAlign w:val="center"/>
          </w:tcPr>
          <w:p w14:paraId="6B56209C">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08F02423">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18.优良水体比例</w:t>
            </w:r>
          </w:p>
        </w:tc>
        <w:tc>
          <w:tcPr>
            <w:tcW w:w="900" w:type="dxa"/>
            <w:tcBorders>
              <w:top w:val="single" w:color="auto" w:sz="4" w:space="0"/>
              <w:left w:val="single" w:color="auto" w:sz="4" w:space="0"/>
              <w:bottom w:val="single" w:color="auto" w:sz="4" w:space="0"/>
              <w:right w:val="single" w:color="auto" w:sz="4" w:space="0"/>
            </w:tcBorders>
            <w:noWrap/>
            <w:vAlign w:val="center"/>
          </w:tcPr>
          <w:p w14:paraId="147343CB">
            <w:pPr>
              <w:overflowPunct w:val="0"/>
              <w:topLinePunct/>
              <w:adjustRightInd w:val="0"/>
              <w:snapToGrid w:val="0"/>
              <w:jc w:val="center"/>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0B0C6342">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100</w:t>
            </w:r>
          </w:p>
        </w:tc>
        <w:tc>
          <w:tcPr>
            <w:tcW w:w="1038" w:type="dxa"/>
            <w:tcBorders>
              <w:top w:val="single" w:color="auto" w:sz="4" w:space="0"/>
              <w:left w:val="single" w:color="auto" w:sz="4" w:space="0"/>
              <w:bottom w:val="single" w:color="auto" w:sz="4" w:space="0"/>
              <w:right w:val="single" w:color="auto" w:sz="4" w:space="0"/>
            </w:tcBorders>
            <w:noWrap/>
            <w:vAlign w:val="center"/>
          </w:tcPr>
          <w:p w14:paraId="52ECD82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100</w:t>
            </w:r>
          </w:p>
        </w:tc>
        <w:tc>
          <w:tcPr>
            <w:tcW w:w="850" w:type="dxa"/>
            <w:tcBorders>
              <w:top w:val="single" w:color="auto" w:sz="4" w:space="0"/>
              <w:left w:val="single" w:color="auto" w:sz="4" w:space="0"/>
              <w:bottom w:val="single" w:color="auto" w:sz="4" w:space="0"/>
              <w:right w:val="single" w:color="auto" w:sz="4" w:space="0"/>
            </w:tcBorders>
            <w:noWrap/>
            <w:vAlign w:val="center"/>
          </w:tcPr>
          <w:p w14:paraId="0D792F96">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2997166E">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约束性</w:t>
            </w:r>
          </w:p>
        </w:tc>
      </w:tr>
      <w:tr w14:paraId="54D7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left w:val="single" w:color="auto" w:sz="4" w:space="0"/>
              <w:right w:val="single" w:color="auto" w:sz="4" w:space="0"/>
            </w:tcBorders>
            <w:vAlign w:val="center"/>
          </w:tcPr>
          <w:p w14:paraId="7D060C62">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778612B8">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19.森林覆盖率</w:t>
            </w:r>
          </w:p>
        </w:tc>
        <w:tc>
          <w:tcPr>
            <w:tcW w:w="900" w:type="dxa"/>
            <w:tcBorders>
              <w:top w:val="single" w:color="auto" w:sz="4" w:space="0"/>
              <w:left w:val="single" w:color="auto" w:sz="4" w:space="0"/>
              <w:bottom w:val="single" w:color="auto" w:sz="4" w:space="0"/>
              <w:right w:val="single" w:color="auto" w:sz="4" w:space="0"/>
            </w:tcBorders>
            <w:noWrap/>
            <w:vAlign w:val="center"/>
          </w:tcPr>
          <w:p w14:paraId="0EB9C9AD">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w:t>
            </w:r>
          </w:p>
        </w:tc>
        <w:tc>
          <w:tcPr>
            <w:tcW w:w="964" w:type="dxa"/>
            <w:tcBorders>
              <w:top w:val="single" w:color="auto" w:sz="4" w:space="0"/>
              <w:left w:val="single" w:color="auto" w:sz="4" w:space="0"/>
              <w:bottom w:val="single" w:color="auto" w:sz="4" w:space="0"/>
              <w:right w:val="single" w:color="auto" w:sz="4" w:space="0"/>
            </w:tcBorders>
            <w:noWrap/>
            <w:vAlign w:val="center"/>
          </w:tcPr>
          <w:p w14:paraId="2D56807E">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70</w:t>
            </w:r>
          </w:p>
        </w:tc>
        <w:tc>
          <w:tcPr>
            <w:tcW w:w="1038" w:type="dxa"/>
            <w:tcBorders>
              <w:top w:val="single" w:color="auto" w:sz="4" w:space="0"/>
              <w:left w:val="single" w:color="auto" w:sz="4" w:space="0"/>
              <w:bottom w:val="single" w:color="auto" w:sz="4" w:space="0"/>
              <w:right w:val="single" w:color="auto" w:sz="4" w:space="0"/>
            </w:tcBorders>
            <w:noWrap/>
            <w:vAlign w:val="center"/>
          </w:tcPr>
          <w:p w14:paraId="08F57BBC">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72</w:t>
            </w:r>
          </w:p>
        </w:tc>
        <w:tc>
          <w:tcPr>
            <w:tcW w:w="850" w:type="dxa"/>
            <w:tcBorders>
              <w:top w:val="single" w:color="auto" w:sz="4" w:space="0"/>
              <w:left w:val="single" w:color="auto" w:sz="4" w:space="0"/>
              <w:bottom w:val="single" w:color="auto" w:sz="4" w:space="0"/>
              <w:right w:val="single" w:color="auto" w:sz="4" w:space="0"/>
            </w:tcBorders>
            <w:noWrap/>
            <w:vAlign w:val="center"/>
          </w:tcPr>
          <w:p w14:paraId="61C689E7">
            <w:pPr>
              <w:overflowPunct w:val="0"/>
              <w:topLinePunct/>
              <w:adjustRightInd w:val="0"/>
              <w:snapToGrid w:val="0"/>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4890C6C1">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约束性</w:t>
            </w:r>
          </w:p>
        </w:tc>
      </w:tr>
      <w:tr w14:paraId="766F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59" w:type="dxa"/>
            <w:vMerge w:val="continue"/>
            <w:tcBorders>
              <w:left w:val="single" w:color="auto" w:sz="4" w:space="0"/>
              <w:bottom w:val="single" w:color="auto" w:sz="4" w:space="0"/>
              <w:right w:val="single" w:color="auto" w:sz="4" w:space="0"/>
            </w:tcBorders>
            <w:vAlign w:val="center"/>
          </w:tcPr>
          <w:p w14:paraId="179597D9">
            <w:pPr>
              <w:widowControl/>
              <w:jc w:val="left"/>
              <w:rPr>
                <w:rFonts w:ascii="Times New Roman" w:hAnsi="Times New Roman" w:eastAsia="宋体"/>
                <w:b/>
                <w:bCs/>
                <w:color w:val="000000" w:themeColor="text1"/>
                <w:sz w:val="20"/>
                <w:szCs w:val="20"/>
                <w14:textFill>
                  <w14:solidFill>
                    <w14:schemeClr w14:val="tx1"/>
                  </w14:solidFill>
                </w14:textFill>
              </w:rPr>
            </w:pP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0B3DFD9D">
            <w:pPr>
              <w:overflowPunct w:val="0"/>
              <w:topLinePunct/>
              <w:adjustRightInd w:val="0"/>
              <w:snapToGrid w:val="0"/>
              <w:jc w:val="left"/>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20.汉江出境断面水质</w:t>
            </w:r>
          </w:p>
        </w:tc>
        <w:tc>
          <w:tcPr>
            <w:tcW w:w="900" w:type="dxa"/>
            <w:tcBorders>
              <w:top w:val="single" w:color="auto" w:sz="4" w:space="0"/>
              <w:left w:val="single" w:color="auto" w:sz="4" w:space="0"/>
              <w:bottom w:val="single" w:color="auto" w:sz="4" w:space="0"/>
              <w:right w:val="single" w:color="auto" w:sz="4" w:space="0"/>
            </w:tcBorders>
            <w:noWrap/>
            <w:vAlign w:val="center"/>
          </w:tcPr>
          <w:p w14:paraId="6E8950CA">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类</w:t>
            </w:r>
          </w:p>
        </w:tc>
        <w:tc>
          <w:tcPr>
            <w:tcW w:w="964" w:type="dxa"/>
            <w:tcBorders>
              <w:top w:val="single" w:color="auto" w:sz="4" w:space="0"/>
              <w:left w:val="single" w:color="auto" w:sz="4" w:space="0"/>
              <w:bottom w:val="single" w:color="auto" w:sz="4" w:space="0"/>
              <w:right w:val="single" w:color="auto" w:sz="4" w:space="0"/>
            </w:tcBorders>
            <w:noWrap/>
            <w:vAlign w:val="center"/>
          </w:tcPr>
          <w:p w14:paraId="19599D3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Ⅱ类</w:t>
            </w:r>
          </w:p>
        </w:tc>
        <w:tc>
          <w:tcPr>
            <w:tcW w:w="1038" w:type="dxa"/>
            <w:tcBorders>
              <w:top w:val="single" w:color="auto" w:sz="4" w:space="0"/>
              <w:left w:val="single" w:color="auto" w:sz="4" w:space="0"/>
              <w:bottom w:val="single" w:color="auto" w:sz="4" w:space="0"/>
              <w:right w:val="single" w:color="auto" w:sz="4" w:space="0"/>
            </w:tcBorders>
            <w:noWrap/>
            <w:vAlign w:val="center"/>
          </w:tcPr>
          <w:p w14:paraId="7DDCF1E7">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Ⅱ类</w:t>
            </w:r>
          </w:p>
        </w:tc>
        <w:tc>
          <w:tcPr>
            <w:tcW w:w="850" w:type="dxa"/>
            <w:tcBorders>
              <w:top w:val="single" w:color="auto" w:sz="4" w:space="0"/>
              <w:left w:val="single" w:color="auto" w:sz="4" w:space="0"/>
              <w:bottom w:val="single" w:color="auto" w:sz="4" w:space="0"/>
              <w:right w:val="single" w:color="auto" w:sz="4" w:space="0"/>
            </w:tcBorders>
            <w:noWrap/>
            <w:vAlign w:val="center"/>
          </w:tcPr>
          <w:p w14:paraId="35919ED5">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676D1A82">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约束性</w:t>
            </w:r>
          </w:p>
        </w:tc>
      </w:tr>
      <w:tr w14:paraId="3F92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59" w:type="dxa"/>
            <w:tcBorders>
              <w:top w:val="nil"/>
              <w:left w:val="single" w:color="auto" w:sz="4" w:space="0"/>
              <w:bottom w:val="single" w:color="auto" w:sz="4" w:space="0"/>
              <w:right w:val="single" w:color="auto" w:sz="4" w:space="0"/>
            </w:tcBorders>
            <w:noWrap/>
            <w:vAlign w:val="center"/>
          </w:tcPr>
          <w:p w14:paraId="64C6455C">
            <w:pPr>
              <w:overflowPunct w:val="0"/>
              <w:topLinePunct/>
              <w:adjustRightInd w:val="0"/>
              <w:snapToGrid w:val="0"/>
              <w:jc w:val="center"/>
              <w:rPr>
                <w:rFonts w:ascii="Times New Roman" w:hAnsi="Times New Roman" w:eastAsia="宋体"/>
                <w:b/>
                <w:bCs/>
                <w:color w:val="000000" w:themeColor="text1"/>
                <w:sz w:val="20"/>
                <w:szCs w:val="20"/>
                <w14:textFill>
                  <w14:solidFill>
                    <w14:schemeClr w14:val="tx1"/>
                  </w14:solidFill>
                </w14:textFill>
              </w:rPr>
            </w:pPr>
            <w:r>
              <w:rPr>
                <w:rFonts w:hint="eastAsia" w:ascii="宋体" w:hAnsi="宋体" w:eastAsia="宋体"/>
                <w:b/>
                <w:bCs/>
                <w:color w:val="000000" w:themeColor="text1"/>
                <w:sz w:val="20"/>
                <w:szCs w:val="20"/>
                <w14:textFill>
                  <w14:solidFill>
                    <w14:schemeClr w14:val="tx1"/>
                  </w14:solidFill>
                </w14:textFill>
              </w:rPr>
              <w:t>安全保障</w:t>
            </w:r>
          </w:p>
        </w:tc>
        <w:tc>
          <w:tcPr>
            <w:tcW w:w="3364" w:type="dxa"/>
            <w:gridSpan w:val="2"/>
            <w:tcBorders>
              <w:top w:val="single" w:color="auto" w:sz="4" w:space="0"/>
              <w:left w:val="single" w:color="auto" w:sz="4" w:space="0"/>
              <w:bottom w:val="single" w:color="auto" w:sz="4" w:space="0"/>
              <w:right w:val="single" w:color="auto" w:sz="4" w:space="0"/>
            </w:tcBorders>
            <w:noWrap/>
            <w:vAlign w:val="center"/>
          </w:tcPr>
          <w:p w14:paraId="02EB8730">
            <w:pPr>
              <w:overflowPunct w:val="0"/>
              <w:topLinePunct/>
              <w:adjustRightInd w:val="0"/>
              <w:snapToGrid w:val="0"/>
              <w:jc w:val="left"/>
              <w:textAlignment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21.粮食综合生产能力</w:t>
            </w:r>
          </w:p>
        </w:tc>
        <w:tc>
          <w:tcPr>
            <w:tcW w:w="900" w:type="dxa"/>
            <w:tcBorders>
              <w:top w:val="single" w:color="auto" w:sz="4" w:space="0"/>
              <w:left w:val="single" w:color="auto" w:sz="4" w:space="0"/>
              <w:bottom w:val="single" w:color="auto" w:sz="4" w:space="0"/>
              <w:right w:val="single" w:color="auto" w:sz="4" w:space="0"/>
            </w:tcBorders>
            <w:noWrap/>
            <w:vAlign w:val="center"/>
          </w:tcPr>
          <w:p w14:paraId="12C98EEF">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万吨</w:t>
            </w:r>
          </w:p>
        </w:tc>
        <w:tc>
          <w:tcPr>
            <w:tcW w:w="964" w:type="dxa"/>
            <w:tcBorders>
              <w:top w:val="single" w:color="auto" w:sz="4" w:space="0"/>
              <w:left w:val="single" w:color="auto" w:sz="4" w:space="0"/>
              <w:bottom w:val="single" w:color="auto" w:sz="4" w:space="0"/>
              <w:right w:val="single" w:color="auto" w:sz="4" w:space="0"/>
            </w:tcBorders>
            <w:noWrap/>
            <w:vAlign w:val="center"/>
          </w:tcPr>
          <w:p w14:paraId="40D7F3B5">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 xml:space="preserve">74    </w:t>
            </w:r>
          </w:p>
        </w:tc>
        <w:tc>
          <w:tcPr>
            <w:tcW w:w="1038" w:type="dxa"/>
            <w:tcBorders>
              <w:top w:val="single" w:color="auto" w:sz="4" w:space="0"/>
              <w:left w:val="single" w:color="auto" w:sz="4" w:space="0"/>
              <w:bottom w:val="single" w:color="auto" w:sz="4" w:space="0"/>
              <w:right w:val="single" w:color="auto" w:sz="4" w:space="0"/>
            </w:tcBorders>
            <w:noWrap/>
            <w:vAlign w:val="center"/>
          </w:tcPr>
          <w:p w14:paraId="75F1714C">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74</w:t>
            </w:r>
          </w:p>
        </w:tc>
        <w:tc>
          <w:tcPr>
            <w:tcW w:w="850" w:type="dxa"/>
            <w:tcBorders>
              <w:top w:val="single" w:color="auto" w:sz="4" w:space="0"/>
              <w:left w:val="single" w:color="auto" w:sz="4" w:space="0"/>
              <w:bottom w:val="single" w:color="auto" w:sz="4" w:space="0"/>
              <w:right w:val="single" w:color="auto" w:sz="4" w:space="0"/>
            </w:tcBorders>
            <w:noWrap/>
            <w:vAlign w:val="center"/>
          </w:tcPr>
          <w:p w14:paraId="370CC351">
            <w:pPr>
              <w:overflowPunct w:val="0"/>
              <w:topLinePunct/>
              <w:adjustRightInd w:val="0"/>
              <w:snapToGrid w:val="0"/>
              <w:jc w:val="center"/>
              <w:textAlignment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w:t>
            </w:r>
          </w:p>
        </w:tc>
        <w:tc>
          <w:tcPr>
            <w:tcW w:w="963" w:type="dxa"/>
            <w:tcBorders>
              <w:top w:val="single" w:color="auto" w:sz="4" w:space="0"/>
              <w:left w:val="single" w:color="auto" w:sz="4" w:space="0"/>
              <w:bottom w:val="single" w:color="auto" w:sz="4" w:space="0"/>
              <w:right w:val="single" w:color="auto" w:sz="4" w:space="0"/>
            </w:tcBorders>
            <w:noWrap/>
            <w:vAlign w:val="center"/>
          </w:tcPr>
          <w:p w14:paraId="4C1289E6">
            <w:pPr>
              <w:overflowPunct w:val="0"/>
              <w:topLinePunct/>
              <w:spacing w:line="280" w:lineRule="exact"/>
              <w:jc w:val="center"/>
              <w:rPr>
                <w:rFonts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约束性</w:t>
            </w:r>
          </w:p>
        </w:tc>
      </w:tr>
      <w:tr w14:paraId="40BB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838" w:type="dxa"/>
            <w:gridSpan w:val="8"/>
            <w:tcBorders>
              <w:top w:val="single" w:color="auto" w:sz="4" w:space="0"/>
              <w:left w:val="single" w:color="auto" w:sz="4" w:space="0"/>
              <w:bottom w:val="single" w:color="auto" w:sz="4" w:space="0"/>
              <w:right w:val="single" w:color="auto" w:sz="4" w:space="0"/>
            </w:tcBorders>
            <w:vAlign w:val="center"/>
          </w:tcPr>
          <w:p w14:paraId="7C3A033A">
            <w:pPr>
              <w:overflowPunct w:val="0"/>
              <w:topLinePunct/>
              <w:spacing w:line="280" w:lineRule="exact"/>
              <w:jc w:val="left"/>
              <w:rPr>
                <w:rFonts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注：</w:t>
            </w:r>
            <w:r>
              <w:rPr>
                <w:rFonts w:hint="eastAsia" w:ascii="东文宋体" w:hAnsi="东文宋体" w:eastAsia="东文宋体" w:cs="东文宋体"/>
                <w:color w:val="000000" w:themeColor="text1"/>
                <w:sz w:val="20"/>
                <w:szCs w:val="20"/>
                <w14:textFill>
                  <w14:solidFill>
                    <w14:schemeClr w14:val="tx1"/>
                  </w14:solidFill>
                </w14:textFill>
              </w:rPr>
              <w:t>①</w:t>
            </w:r>
            <w:r>
              <w:rPr>
                <w:rFonts w:hint="eastAsia" w:ascii="宋体" w:hAnsi="宋体" w:eastAsia="宋体"/>
                <w:color w:val="000000" w:themeColor="text1"/>
                <w:sz w:val="20"/>
                <w:szCs w:val="20"/>
                <w14:textFill>
                  <w14:solidFill>
                    <w14:schemeClr w14:val="tx1"/>
                  </w14:solidFill>
                </w14:textFill>
              </w:rPr>
              <w:t>【】表示五年累计数；</w:t>
            </w:r>
            <w:r>
              <w:rPr>
                <w:rFonts w:hint="eastAsia" w:ascii="东文宋体" w:hAnsi="东文宋体" w:eastAsia="东文宋体" w:cs="东文宋体"/>
                <w:color w:val="000000" w:themeColor="text1"/>
                <w:sz w:val="20"/>
                <w:szCs w:val="20"/>
                <w14:textFill>
                  <w14:solidFill>
                    <w14:schemeClr w14:val="tx1"/>
                  </w14:solidFill>
                </w14:textFill>
              </w:rPr>
              <w:t>②2025年部分数值正在更新中。</w:t>
            </w:r>
          </w:p>
        </w:tc>
      </w:tr>
    </w:tbl>
    <w:p w14:paraId="2210DB1E">
      <w:pPr>
        <w:pStyle w:val="5"/>
        <w:overflowPunct w:val="0"/>
        <w:topLinePunct/>
        <w:spacing w:before="0" w:beforeLines="0" w:after="0" w:afterLines="0" w:line="800" w:lineRule="exact"/>
        <w:jc w:val="both"/>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542BF364">
      <w:pPr>
        <w:pStyle w:val="5"/>
        <w:overflowPunct w:val="0"/>
        <w:topLinePunct/>
        <w:spacing w:before="312" w:after="0" w:afterLines="0"/>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6" w:name="_Toc32749"/>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第二篇 加快构建具有安康特色的现代化产业体系，厚植建设幸福安康物质基础</w:t>
      </w:r>
      <w:bookmarkEnd w:id="6"/>
    </w:p>
    <w:bookmarkEnd w:id="2"/>
    <w:p w14:paraId="75AEB91F">
      <w:pPr>
        <w:overflowPunct w:val="0"/>
        <w:topLinePunct/>
        <w:spacing w:line="440" w:lineRule="exact"/>
        <w:ind w:firstLine="640" w:firstLineChars="200"/>
        <w:rPr>
          <w:rFonts w:ascii="仿宋_GB2312" w:hAnsi="方正仿宋_GB2312" w:eastAsia="仿宋_GB2312" w:cs="方正仿宋_GB2312"/>
          <w:color w:val="000000" w:themeColor="text1"/>
          <w:sz w:val="32"/>
          <w:szCs w:val="32"/>
          <w14:textFill>
            <w14:solidFill>
              <w14:schemeClr w14:val="tx1"/>
            </w14:solidFill>
          </w14:textFill>
        </w:rPr>
      </w:pPr>
      <w:bookmarkStart w:id="7" w:name="_Toc16600"/>
    </w:p>
    <w:p w14:paraId="316B3DCB">
      <w:pPr>
        <w:overflowPunct w:val="0"/>
        <w:topLinePunct/>
        <w:spacing w:line="560" w:lineRule="exact"/>
        <w:ind w:firstLine="640"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color w:val="000000" w:themeColor="text1"/>
          <w:sz w:val="32"/>
          <w:szCs w:val="32"/>
          <w14:textFill>
            <w14:solidFill>
              <w14:schemeClr w14:val="tx1"/>
            </w14:solidFill>
          </w14:textFill>
        </w:rPr>
        <w:t>坚持把发展经济的着力点放在实体经济上，紧扣智能化、绿色化、融合化方向，以重点产业链“链长制”为抓手，深入实施重点产业链高质量发展行动，聚力打造富硒产业、生态旅游、绿色制造三大千亿级产业集群，加快构建三次产业协同发展、城乡产业深度融合的现代化产业体系。</w:t>
      </w:r>
    </w:p>
    <w:p w14:paraId="30C81892">
      <w:pPr>
        <w:pStyle w:val="6"/>
        <w:overflowPunct w:val="0"/>
        <w:topLinePunct/>
        <w:spacing w:before="312" w:beforeLines="100" w:after="312" w:afterLines="100" w:line="520" w:lineRule="exact"/>
        <w:rPr>
          <w:color w:val="000000" w:themeColor="text1"/>
          <w14:textFill>
            <w14:solidFill>
              <w14:schemeClr w14:val="tx1"/>
            </w14:solidFill>
          </w14:textFill>
        </w:rPr>
      </w:pPr>
      <w:bookmarkStart w:id="8" w:name="_Toc13810"/>
      <w:bookmarkStart w:id="9" w:name="_Toc19275"/>
      <w:r>
        <w:rPr>
          <w:rFonts w:hint="eastAsia"/>
          <w:color w:val="000000" w:themeColor="text1"/>
          <w14:textFill>
            <w14:solidFill>
              <w14:schemeClr w14:val="tx1"/>
            </w14:solidFill>
          </w14:textFill>
        </w:rPr>
        <w:t xml:space="preserve">第一章 </w:t>
      </w:r>
      <w:bookmarkEnd w:id="8"/>
      <w:r>
        <w:rPr>
          <w:rFonts w:hint="eastAsia"/>
          <w:color w:val="000000" w:themeColor="text1"/>
          <w14:textFill>
            <w14:solidFill>
              <w14:schemeClr w14:val="tx1"/>
            </w14:solidFill>
          </w14:textFill>
        </w:rPr>
        <w:t>做强做优富硒产业集群</w:t>
      </w:r>
      <w:bookmarkEnd w:id="9"/>
    </w:p>
    <w:p w14:paraId="403BB279">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打造富硒产业新高地。</w:t>
      </w:r>
      <w:r>
        <w:rPr>
          <w:rFonts w:hint="eastAsia" w:ascii="仿宋_GB2312" w:hAnsi="Times New Roman" w:eastAsia="仿宋_GB2312" w:cs="Times New Roman"/>
          <w:color w:val="000000" w:themeColor="text1"/>
          <w:sz w:val="32"/>
          <w:szCs w:val="32"/>
          <w14:textFill>
            <w14:solidFill>
              <w14:schemeClr w14:val="tx1"/>
            </w14:solidFill>
          </w14:textFill>
        </w:rPr>
        <w:t>坚持“硒+X”战略，推动“富硒+有机”融合提升，大力实施科技赋能、重点单品冠军培育、品牌提升“三大行动”。做强安康富</w:t>
      </w:r>
      <w:r>
        <w:rPr>
          <w:rFonts w:hint="eastAsia" w:ascii="仿宋_GB2312" w:hAnsi="方正仿宋_GB2312" w:eastAsia="仿宋_GB2312" w:cs="方正仿宋_GB2312"/>
          <w:color w:val="000000" w:themeColor="text1"/>
          <w:sz w:val="32"/>
          <w:szCs w:val="32"/>
          <w14:textFill>
            <w14:solidFill>
              <w14:schemeClr w14:val="tx1"/>
            </w14:solidFill>
          </w14:textFill>
        </w:rPr>
        <w:t>硒茶、秦巴生态肉业、安康魔芋、生态渔业、包装饮用水产业，壮大富硒预制菜产业，加快向功能食品、健康饮品、生物医药、康养保健品等领域拓展。实施链主企业培育工程，重点扶持龙头企业和专精特新企业，推动产业链纵向延伸与横向耦合。持续拓展富硒产业业态，围绕种植、加工、研发、销售等环节实施产业强链补链延链工程，推动富硒产业或富硒产品加工智能化升级，开发高附加值产品，实现硒资源向硒经济高效转化。健全富硒产业科技、服务、经营和政策体系，配套建设硒谷博物馆及产品交易集散中心，打造千亿级富硒产业集群。到2030年，力争富硒产业总产值突破1000亿元，成为全市首位产业、立市之业。</w:t>
      </w:r>
    </w:p>
    <w:p w14:paraId="770306BC">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提升富硒产业品牌品质。</w:t>
      </w:r>
      <w:r>
        <w:rPr>
          <w:rFonts w:hint="eastAsia" w:ascii="仿宋_GB2312" w:hAnsi="方正仿宋_GB2312" w:eastAsia="仿宋_GB2312" w:cs="方正仿宋_GB2312"/>
          <w:color w:val="000000" w:themeColor="text1"/>
          <w:sz w:val="32"/>
          <w:szCs w:val="32"/>
          <w14:textFill>
            <w14:solidFill>
              <w14:schemeClr w14:val="tx1"/>
            </w14:solidFill>
          </w14:textFill>
        </w:rPr>
        <w:t>建设全市统一富硒产品检验检测机构，制定全链条标准体系，促进富硒产品标准应用。建立区块链溯源系统，明确富硒含量阈值，确保标准执行全程可监控，筑牢产业标准化根基。开展硒与人体健康机理研究，攻关稳硒控硒、硒的快检技术、高附加值富硒产品开发等关键技术，健全覆盖全产业链的质量标准和追溯体系。依托中国富硒产业研究院、富硒食品开发国家地方联合工程实验室等平台，联合高校开展硒资源综合利用研究，攻关硒元素精准检测、生物转化及功能化应用技术。提升富硒品牌品质，制定品牌使用与管理规范，支持企业创建知名品牌，强化品牌宣传与市场推广，打响“中国硒谷”地域品牌，打造“秦巴优品·硒有安康”区域公用品牌，以品牌引领提升产业整体价值。</w:t>
      </w:r>
    </w:p>
    <w:p w14:paraId="59C5170E">
      <w:pPr>
        <w:overflowPunct w:val="0"/>
        <w:topLinePunct/>
        <w:spacing w:line="560" w:lineRule="exact"/>
        <w:rPr>
          <w:rFonts w:ascii="仿宋_GB2312" w:hAnsi="方正仿宋_GB2312" w:eastAsia="仿宋_GB2312" w:cs="方正仿宋_GB2312"/>
          <w:color w:val="000000" w:themeColor="text1"/>
          <w:sz w:val="32"/>
          <w:szCs w:val="32"/>
          <w14:textFill>
            <w14:solidFill>
              <w14:schemeClr w14:val="tx1"/>
            </w14:solidFill>
          </w14:textFill>
        </w:rPr>
      </w:pP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010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6771FC1D">
            <w:pPr>
              <w:pStyle w:val="31"/>
              <w:overflowPunct w:val="0"/>
              <w:topLinePunct/>
              <w:spacing w:after="0" w:line="400" w:lineRule="exact"/>
              <w:ind w:firstLine="0" w:firstLineChars="0"/>
              <w:jc w:val="center"/>
              <w:rPr>
                <w:rFonts w:ascii="Times New Roman" w:hAnsi="Times New Roman" w:eastAsia="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专栏1  富硒产业建设重点任务</w:t>
            </w:r>
          </w:p>
        </w:tc>
      </w:tr>
      <w:tr w14:paraId="3FF0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3" w:hRule="atLeast"/>
          <w:jc w:val="center"/>
        </w:trPr>
        <w:tc>
          <w:tcPr>
            <w:tcW w:w="5000" w:type="pct"/>
          </w:tcPr>
          <w:p w14:paraId="224C9651">
            <w:pPr>
              <w:pStyle w:val="15"/>
              <w:spacing w:before="93" w:beforeLines="30" w:line="440" w:lineRule="exact"/>
              <w:ind w:firstLine="480" w:firstLineChars="200"/>
              <w:jc w:val="both"/>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（一）推动硒资源利用。</w:t>
            </w:r>
            <w:r>
              <w:rPr>
                <w:rFonts w:hint="eastAsia" w:ascii="宋体" w:hAnsi="宋体" w:eastAsia="宋体" w:cs="宋体"/>
                <w:color w:val="000000" w:themeColor="text1"/>
                <w:sz w:val="24"/>
                <w14:textFill>
                  <w14:solidFill>
                    <w14:schemeClr w14:val="tx1"/>
                  </w14:solidFill>
                </w14:textFill>
              </w:rPr>
              <w:t>聚焦现有资源的高效利用与产业升级，加快安康富硒茶专用生物硒肥研发及产业化应用，加快富硒畜（禽）饲料研发及富硒种养循环模式构建。引导富硒特色产业拓展和延伸，打造富硒产业园，建设富硒示范基地，培育富硒龙头企业，推进</w:t>
            </w:r>
            <w:r>
              <w:rPr>
                <w:rFonts w:hint="eastAsia" w:ascii="宋体" w:hAnsi="宋体" w:eastAsia="宋体" w:cs="宋体"/>
                <w:color w:val="000000" w:themeColor="text1"/>
                <w:sz w:val="24"/>
                <w:szCs w:val="24"/>
                <w14:textFill>
                  <w14:solidFill>
                    <w14:schemeClr w14:val="tx1"/>
                  </w14:solidFill>
                </w14:textFill>
              </w:rPr>
              <w:t>全国性大宗富硒产品电子交易中心建设，初步建成全国富硒产业核心集聚区。</w:t>
            </w:r>
          </w:p>
          <w:p w14:paraId="027A397C">
            <w:pPr>
              <w:pStyle w:val="15"/>
              <w:spacing w:line="440" w:lineRule="exact"/>
              <w:ind w:firstLine="480" w:firstLineChars="200"/>
              <w:jc w:val="both"/>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（二）加快富硒科技创新。</w:t>
            </w:r>
            <w:r>
              <w:rPr>
                <w:rFonts w:hint="eastAsia" w:ascii="Times New Roman" w:hAnsi="Times New Roman" w:eastAsia="宋体" w:cs="Times New Roman"/>
                <w:color w:val="000000" w:themeColor="text1"/>
                <w:sz w:val="24"/>
                <w:szCs w:val="24"/>
                <w14:textFill>
                  <w14:solidFill>
                    <w14:schemeClr w14:val="tx1"/>
                  </w14:solidFill>
                </w14:textFill>
              </w:rPr>
              <w:t>引导市内外专家团队参与市重点区域、重点品种有机硒含量标准化的技术研发，破解富硒产品关键技术问题。鼓励联合权威富硒科研单位，建设陕西省重点实验室、共性技术研发平台、技术创新中心、协同创新基地等平台。</w:t>
            </w:r>
          </w:p>
          <w:p w14:paraId="03EC8F12">
            <w:pPr>
              <w:pStyle w:val="15"/>
              <w:spacing w:after="93" w:afterLines="30" w:line="440" w:lineRule="exact"/>
              <w:ind w:firstLine="480" w:firstLineChars="200"/>
              <w:jc w:val="both"/>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（三）推进富硒产业融合。</w:t>
            </w:r>
            <w:r>
              <w:rPr>
                <w:rFonts w:hint="eastAsia" w:ascii="宋体" w:hAnsi="宋体" w:eastAsia="宋体" w:cs="宋体"/>
                <w:color w:val="000000" w:themeColor="text1"/>
                <w:sz w:val="24"/>
                <w:szCs w:val="24"/>
                <w14:textFill>
                  <w14:solidFill>
                    <w14:schemeClr w14:val="tx1"/>
                  </w14:solidFill>
                </w14:textFill>
              </w:rPr>
              <w:t>鼓励紫阳县大力推进“硒+农业+精深加工+康养旅游”新业态融合发展，推进汉滨、平利新茶饮开发和岚皋魔芋精深加工。推进汉阴、石泉、恒口等发展富硒粮油、富硒预制菜与功能性食品精深加工，打造富硒食品精深加工核心集聚区。推进汉滨、紫阳、岚皋、宁陕发展富硒、富锶高端矿泉水，打造富硒水及富硒饮品基地。重点建设紫阳县植物源甲基硒代半胱氨酸生物合成项目和中食三产融合循环经济创意产业园项目。</w:t>
            </w:r>
          </w:p>
        </w:tc>
      </w:tr>
    </w:tbl>
    <w:p w14:paraId="75411C4D">
      <w:pPr>
        <w:pStyle w:val="6"/>
        <w:overflowPunct w:val="0"/>
        <w:topLinePunct/>
        <w:spacing w:before="312" w:beforeLines="100" w:after="312" w:afterLines="100"/>
        <w:rPr>
          <w:color w:val="000000" w:themeColor="text1"/>
          <w14:textFill>
            <w14:solidFill>
              <w14:schemeClr w14:val="tx1"/>
            </w14:solidFill>
          </w14:textFill>
        </w:rPr>
      </w:pPr>
      <w:bookmarkStart w:id="10" w:name="_Toc608"/>
      <w:bookmarkStart w:id="11" w:name="_Toc2442"/>
      <w:r>
        <w:rPr>
          <w:rFonts w:hint="eastAsia"/>
          <w:color w:val="000000" w:themeColor="text1"/>
          <w14:textFill>
            <w14:solidFill>
              <w14:schemeClr w14:val="tx1"/>
            </w14:solidFill>
          </w14:textFill>
        </w:rPr>
        <w:t>第二章 大力发展生态旅游</w:t>
      </w:r>
      <w:bookmarkEnd w:id="10"/>
      <w:bookmarkEnd w:id="11"/>
    </w:p>
    <w:p w14:paraId="2BBA4C7E">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提升核心景区集群。</w:t>
      </w:r>
      <w:r>
        <w:rPr>
          <w:rFonts w:hint="eastAsia" w:ascii="仿宋_GB2312" w:hAnsi="仿宋_GB2312" w:eastAsia="仿宋_GB2312" w:cs="仿宋_GB2312"/>
          <w:color w:val="000000" w:themeColor="text1"/>
          <w:sz w:val="32"/>
          <w:szCs w:val="32"/>
          <w14:textFill>
            <w14:solidFill>
              <w14:schemeClr w14:val="tx1"/>
            </w14:solidFill>
          </w14:textFill>
        </w:rPr>
        <w:t>聚焦打造全国知名生态旅游目的地，建好核心景区景点，推动南宫山创建国家5A级旅游景区，支持巴山大草甸、正阳大草甸等创建国家4A级旅游景区。实施精品线路培育工程，以建设国家全域旅游发展示范区为契机，设计秦巴山水生态游、汉江风情度假游、古镇非遗文化游等主题线路，串联核心景区与乡村旅游节点。联合周边地市，推动跨省市旅游主题线路设计。完善旅游基础设施网络，提升景区道路等级，开通旅游专线巴士，构建“快进慢游”交通体系。持续推进“引客入安”，实施旅游服务质量提升工程，促进旅游景区提标、服务提质、市场提效、品牌提档。建设智慧旅游导览系统，布局15分钟旅游服务圈，建好景区配套设施，夯实全域旅游硬件基础。到2030年，游客总花费达到600亿元。</w:t>
      </w:r>
    </w:p>
    <w:p w14:paraId="4B802490">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推进文旅深度融合。</w:t>
      </w:r>
      <w:r>
        <w:rPr>
          <w:rFonts w:hint="eastAsia" w:ascii="仿宋_GB2312" w:hAnsi="仿宋_GB2312" w:eastAsia="仿宋_GB2312" w:cs="仿宋_GB2312"/>
          <w:color w:val="000000" w:themeColor="text1"/>
          <w:sz w:val="32"/>
          <w:szCs w:val="32"/>
          <w14:textFill>
            <w14:solidFill>
              <w14:schemeClr w14:val="tx1"/>
            </w14:solidFill>
          </w14:textFill>
        </w:rPr>
        <w:t>坚持“文旅+百业”“百业+文旅”双向融合，推动生态旅游从观光型向体验型、度假型、康养型转型。实施“陕南回响”民歌唱响工程，打造《汉水长歌》等演艺IP；挖掘传承龙舟文化，持续办好安康汉江龙舟节，深化开展“村BA”“村光大道”等文体赛事品牌活动，培育全国性文旅体育IP，带动“节庆+旅游+消费”融合。推动文旅与体、康、农、硒深度融合，开发山地徒步、森林探险、水上休闲等新业态，推出富硒康养游、中医药研学游、乡村民宿游等产品，提升东关非遗夜市、汉江夜游集聚区，打造汉江沿岸灯光秀、非遗文创市集，建设紫阳富硒茶康养小镇、平利绞股蓝养生基地、汉阴凤堰古梯田农耕文化体验区等融合载体。</w:t>
      </w:r>
    </w:p>
    <w:p w14:paraId="3BEC47D6">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构建全域康养产业体系。</w:t>
      </w:r>
      <w:r>
        <w:rPr>
          <w:rFonts w:hint="eastAsia" w:ascii="仿宋_GB2312" w:hAnsi="仿宋_GB2312" w:eastAsia="仿宋_GB2312" w:cs="仿宋_GB2312"/>
          <w:color w:val="000000" w:themeColor="text1"/>
          <w:sz w:val="32"/>
          <w:szCs w:val="32"/>
          <w14:textFill>
            <w14:solidFill>
              <w14:schemeClr w14:val="tx1"/>
            </w14:solidFill>
          </w14:textFill>
        </w:rPr>
        <w:t>依托生态本底和富硒资源，推进康养度假村、康养基地、康养民宿群和文旅康养综合体建设，有效融合中医医院、疗休养机构、中医养生堂等平台载体，拓展康养产业发展新空间。创新康养业态，发展生态疗愈、森林康养、避暑康养等特色业态，推动观光旅游向旅居康养、休闲度假转型，发展旅居地产，构建全域全季全业态旅游康养新格局。推动生态康养与新型城镇化、美丽乡村建设结合，打造生态保护、乡村旅游、康养旅居一体化示范项目。加强康养品牌推广，吸引全国康养客群，建设西部一流的休闲旅游度假康养区。</w:t>
      </w:r>
    </w:p>
    <w:p w14:paraId="0099B5EC">
      <w:pPr>
        <w:overflowPunct w:val="0"/>
        <w:topLinePunct/>
        <w:spacing w:line="574"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4AB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0BBBF38C">
            <w:pPr>
              <w:pStyle w:val="31"/>
              <w:overflowPunct w:val="0"/>
              <w:topLinePunct/>
              <w:spacing w:after="0" w:line="400" w:lineRule="exact"/>
              <w:ind w:firstLine="0" w:firstLineChars="0"/>
              <w:jc w:val="center"/>
              <w:rPr>
                <w:rFonts w:ascii="Times New Roman" w:hAnsi="Times New Roman" w:eastAsia="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专栏2  生态文旅产业发展工程</w:t>
            </w:r>
          </w:p>
        </w:tc>
      </w:tr>
      <w:tr w14:paraId="19BA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2B27D99D">
            <w:pPr>
              <w:pStyle w:val="31"/>
              <w:overflowPunct w:val="0"/>
              <w:topLinePunct/>
              <w:adjustRightInd w:val="0"/>
              <w:snapToGrid w:val="0"/>
              <w:spacing w:before="156" w:beforeLines="50" w:after="0" w:line="440" w:lineRule="exact"/>
              <w:ind w:firstLine="480" w:firstLineChars="200"/>
              <w:rPr>
                <w:rFonts w:ascii="Times New Roman" w:hAnsi="Times New Roman"/>
                <w:color w:val="000000" w:themeColor="text1"/>
                <w:sz w:val="24"/>
                <w14:textFill>
                  <w14:solidFill>
                    <w14:schemeClr w14:val="tx1"/>
                  </w14:solidFill>
                </w14:textFill>
              </w:rPr>
            </w:pPr>
            <w:r>
              <w:rPr>
                <w:rFonts w:hint="eastAsia" w:ascii="楷体_GB2312" w:hAnsi="楷体_GB2312" w:eastAsia="楷体_GB2312" w:cs="楷体_GB2312"/>
                <w:color w:val="000000" w:themeColor="text1"/>
                <w:sz w:val="24"/>
                <w:szCs w:val="22"/>
                <w14:textFill>
                  <w14:solidFill>
                    <w14:schemeClr w14:val="tx1"/>
                  </w14:solidFill>
                </w14:textFill>
              </w:rPr>
              <w:t>（一）景区景点建设。</w:t>
            </w:r>
            <w:r>
              <w:rPr>
                <w:rFonts w:hint="eastAsia" w:ascii="宋体" w:hAnsi="宋体" w:cs="宋体"/>
                <w:color w:val="000000" w:themeColor="text1"/>
                <w:sz w:val="24"/>
                <w14:textFill>
                  <w14:solidFill>
                    <w14:schemeClr w14:val="tx1"/>
                  </w14:solidFill>
                </w14:textFill>
              </w:rPr>
              <w:t>支持南宫山、飞渡峡、香溪洞、鬼谷岭、千层河、蒋家坪、陕甘茶马古道、双河口古镇、蜀河古镇、仓上天宝、桥儿沟、构朳庙山寨、西营水田沟、巴山大草原景区、汉江石泉古城、中坝大峡谷、平利正阳大草甸等景区建设。推进瀛湖创建国家级旅游度假区项目，支持镇坪秦巴一号风景道建设。2030年，建设国家5A级旅游景区2个，国家级4A级旅游景区5个。</w:t>
            </w:r>
          </w:p>
          <w:p w14:paraId="2AD8FBAC">
            <w:pPr>
              <w:pStyle w:val="32"/>
              <w:overflowPunct w:val="0"/>
              <w:topLinePunct/>
              <w:spacing w:after="0" w:line="440" w:lineRule="exact"/>
              <w:ind w:left="0" w:leftChars="0" w:firstLine="48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（二）文旅融合发展。</w:t>
            </w:r>
            <w:r>
              <w:rPr>
                <w:rFonts w:ascii="Times New Roman" w:hAnsi="Times New Roman" w:eastAsia="宋体" w:cs="Times New Roman"/>
                <w:color w:val="000000" w:themeColor="text1"/>
                <w:sz w:val="24"/>
                <w:szCs w:val="24"/>
                <w14:textFill>
                  <w14:solidFill>
                    <w14:schemeClr w14:val="tx1"/>
                  </w14:solidFill>
                </w14:textFill>
              </w:rPr>
              <w:t>支</w:t>
            </w:r>
            <w:r>
              <w:rPr>
                <w:rFonts w:hint="eastAsia" w:ascii="宋体" w:hAnsi="宋体" w:eastAsia="宋体" w:cs="宋体"/>
                <w:color w:val="000000" w:themeColor="text1"/>
                <w:sz w:val="24"/>
                <w:szCs w:val="24"/>
                <w14:textFill>
                  <w14:solidFill>
                    <w14:schemeClr w14:val="tx1"/>
                  </w14:solidFill>
                </w14:textFill>
              </w:rPr>
              <w:t>持“汉水长歌”光影夜游数字文旅项目、“一湖两岸”</w:t>
            </w:r>
            <w:r>
              <w:rPr>
                <w:rFonts w:ascii="Times New Roman" w:hAnsi="Times New Roman" w:eastAsia="宋体" w:cs="Times New Roman"/>
                <w:color w:val="000000" w:themeColor="text1"/>
                <w:sz w:val="24"/>
                <w:szCs w:val="24"/>
                <w14:textFill>
                  <w14:solidFill>
                    <w14:schemeClr w14:val="tx1"/>
                  </w14:solidFill>
                </w14:textFill>
              </w:rPr>
              <w:t>城文旅融合发展汉江文博园项目、市智慧文旅项目建设；推进紫阳富硒康养产业链集群、宁陕森林疗愈产业链集群、镇坪巴山药乡医养产业链集群建设</w:t>
            </w:r>
            <w:r>
              <w:rPr>
                <w:rFonts w:hint="eastAsia" w:ascii="Times New Roman" w:hAnsi="Times New Roman" w:eastAsia="宋体" w:cs="Times New Roman"/>
                <w:color w:val="000000" w:themeColor="text1"/>
                <w:sz w:val="24"/>
                <w:szCs w:val="24"/>
                <w14:textFill>
                  <w14:solidFill>
                    <w14:schemeClr w14:val="tx1"/>
                  </w14:solidFill>
                </w14:textFill>
              </w:rPr>
              <w:t>。</w:t>
            </w:r>
          </w:p>
          <w:p w14:paraId="52A15081">
            <w:pPr>
              <w:overflowPunct w:val="0"/>
              <w:topLinePunct/>
              <w:spacing w:after="156" w:afterLines="50"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（三）旅游服务品质提档。</w:t>
            </w:r>
            <w:r>
              <w:rPr>
                <w:rFonts w:hint="eastAsia" w:ascii="Times New Roman" w:hAnsi="Times New Roman" w:eastAsia="宋体" w:cs="Times New Roman"/>
                <w:color w:val="000000" w:themeColor="text1"/>
                <w:sz w:val="24"/>
                <w:szCs w:val="24"/>
                <w14:textFill>
                  <w14:solidFill>
                    <w14:schemeClr w14:val="tx1"/>
                  </w14:solidFill>
                </w14:textFill>
              </w:rPr>
              <w:t>持续完善旅游配套服务，加快落成一批重大功能性旅游产业载体设施。加快市县两级旅游服务（集散）中心建设和改造提升步伐，推进重点景区景点、特色旅游镇村、自驾游营地、旅行社等智慧建设</w:t>
            </w:r>
            <w:r>
              <w:rPr>
                <w:rFonts w:ascii="Times New Roman" w:hAnsi="Times New Roman" w:eastAsia="宋体" w:cs="Times New Roman"/>
                <w:color w:val="000000" w:themeColor="text1"/>
                <w:sz w:val="24"/>
                <w:szCs w:val="24"/>
                <w14:textFill>
                  <w14:solidFill>
                    <w14:schemeClr w14:val="tx1"/>
                  </w14:solidFill>
                </w14:textFill>
              </w:rPr>
              <w:t>。</w:t>
            </w:r>
          </w:p>
        </w:tc>
      </w:tr>
      <w:bookmarkEnd w:id="7"/>
    </w:tbl>
    <w:p w14:paraId="76E4307D">
      <w:pPr>
        <w:pStyle w:val="6"/>
        <w:overflowPunct w:val="0"/>
        <w:topLinePunct/>
        <w:spacing w:before="312" w:beforeLines="100" w:after="312" w:afterLines="100"/>
        <w:rPr>
          <w:color w:val="000000" w:themeColor="text1"/>
          <w14:textFill>
            <w14:solidFill>
              <w14:schemeClr w14:val="tx1"/>
            </w14:solidFill>
          </w14:textFill>
        </w:rPr>
      </w:pPr>
      <w:bookmarkStart w:id="12" w:name="_Toc4652"/>
      <w:bookmarkStart w:id="13" w:name="_Toc16650"/>
      <w:bookmarkStart w:id="14" w:name="_Toc8562"/>
      <w:bookmarkStart w:id="15" w:name="_Toc10880"/>
      <w:bookmarkStart w:id="16" w:name="_Toc15424"/>
      <w:r>
        <w:rPr>
          <w:rFonts w:hint="eastAsia"/>
          <w:color w:val="000000" w:themeColor="text1"/>
          <w14:textFill>
            <w14:solidFill>
              <w14:schemeClr w14:val="tx1"/>
            </w14:solidFill>
          </w14:textFill>
        </w:rPr>
        <w:t xml:space="preserve">第三章 </w:t>
      </w:r>
      <w:bookmarkEnd w:id="12"/>
      <w:r>
        <w:rPr>
          <w:rFonts w:hint="eastAsia"/>
          <w:color w:val="000000" w:themeColor="text1"/>
          <w14:textFill>
            <w14:solidFill>
              <w14:schemeClr w14:val="tx1"/>
            </w14:solidFill>
          </w14:textFill>
        </w:rPr>
        <w:t>推进制造业扩量提质</w:t>
      </w:r>
      <w:bookmarkEnd w:id="13"/>
      <w:bookmarkEnd w:id="14"/>
    </w:p>
    <w:p w14:paraId="268DAB71">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做深新型材料。</w:t>
      </w:r>
      <w:r>
        <w:rPr>
          <w:rFonts w:hint="eastAsia" w:ascii="仿宋_GB2312" w:hAnsi="仿宋_GB2312" w:eastAsia="仿宋_GB2312" w:cs="仿宋_GB2312"/>
          <w:color w:val="000000" w:themeColor="text1"/>
          <w:sz w:val="32"/>
          <w:szCs w:val="32"/>
          <w14:textFill>
            <w14:solidFill>
              <w14:schemeClr w14:val="tx1"/>
            </w14:solidFill>
          </w14:textFill>
        </w:rPr>
        <w:t>立足全市萤石、重晶石、绿松石、铅锌矿、金矿等优势矿产资源，大力推动绿色矿业产业链向高端化延伸，加快钒钛锂电、硅碳基新材料、锌基钡盐等特色有色金属材料、高端氟化工及功能膜材料等新型材料产业发展，打造新型材料产业高地。</w:t>
      </w:r>
      <w:r>
        <w:rPr>
          <w:rFonts w:hint="eastAsia" w:ascii="仿宋_GB2312" w:hAnsi="Times New Roman" w:eastAsia="仿宋_GB2312" w:cs="Times New Roman"/>
          <w:color w:val="000000" w:themeColor="text1"/>
          <w:sz w:val="32"/>
          <w:szCs w:val="32"/>
          <w14:textFill>
            <w14:solidFill>
              <w14:schemeClr w14:val="tx1"/>
            </w14:solidFill>
          </w14:textFill>
        </w:rPr>
        <w:t>推进安康化工园区和县域特色材料产业集群建设，建设以钒钛、锂电、膜材、</w:t>
      </w:r>
      <w:r>
        <w:rPr>
          <w:rFonts w:ascii="仿宋_GB2312" w:hAnsi="仿宋_GB2312" w:eastAsia="仿宋_GB2312" w:cs="仿宋_GB2312"/>
          <w:color w:val="000000" w:themeColor="text1"/>
          <w:sz w:val="32"/>
          <w:szCs w:val="32"/>
          <w14:textFill>
            <w14:solidFill>
              <w14:schemeClr w14:val="tx1"/>
            </w14:solidFill>
          </w14:textFill>
        </w:rPr>
        <w:t>锌基、钡盐、贵金属材料</w:t>
      </w:r>
      <w:r>
        <w:rPr>
          <w:rFonts w:hint="eastAsia" w:ascii="仿宋_GB2312" w:hAnsi="Times New Roman" w:eastAsia="仿宋_GB2312" w:cs="Times New Roman"/>
          <w:color w:val="000000" w:themeColor="text1"/>
          <w:sz w:val="32"/>
          <w:szCs w:val="32"/>
          <w14:textFill>
            <w14:solidFill>
              <w14:schemeClr w14:val="tx1"/>
            </w14:solidFill>
          </w14:textFill>
        </w:rPr>
        <w:t>为主体的百亿有色金属产业集群，打造秦巴区域吸附分离材料、纳米催化剂、功能膜材料等功能高分子材料产业基地。布局生物材料、催化材料、低维材料、超导材料，加强绿色环保、高性能和特种材料关键技术研发，推进特种石墨、超高纯石英砂等碳基硅基新材料延链裂变，力促传统建材转型升级。</w:t>
      </w:r>
      <w:r>
        <w:rPr>
          <w:rFonts w:ascii="仿宋_GB2312" w:hAnsi="仿宋_GB2312" w:eastAsia="仿宋_GB2312" w:cs="仿宋_GB2312"/>
          <w:color w:val="000000" w:themeColor="text1"/>
          <w:sz w:val="32"/>
          <w:szCs w:val="32"/>
          <w14:textFill>
            <w14:solidFill>
              <w14:schemeClr w14:val="tx1"/>
            </w14:solidFill>
          </w14:textFill>
        </w:rPr>
        <w:t>强化资源勘探与绿色开采保障，促进矿产资源就地高效转化。</w:t>
      </w:r>
      <w:r>
        <w:rPr>
          <w:rFonts w:hint="eastAsia" w:ascii="仿宋_GB2312" w:hAnsi="仿宋_GB2312" w:eastAsia="仿宋_GB2312" w:cs="仿宋_GB2312"/>
          <w:color w:val="000000" w:themeColor="text1"/>
          <w:sz w:val="32"/>
          <w:szCs w:val="32"/>
          <w14:textFill>
            <w14:solidFill>
              <w14:schemeClr w14:val="tx1"/>
            </w14:solidFill>
          </w14:textFill>
        </w:rPr>
        <w:t>到2030年，综合产值达到300亿元。</w:t>
      </w:r>
    </w:p>
    <w:p w14:paraId="7F45CE5A">
      <w:pPr>
        <w:pStyle w:val="13"/>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cs="楷体_GB2312"/>
          <w:b/>
          <w:bCs/>
          <w:color w:val="000000" w:themeColor="text1"/>
          <w:sz w:val="32"/>
          <w:szCs w:val="32"/>
          <w14:textFill>
            <w14:solidFill>
              <w14:schemeClr w14:val="tx1"/>
            </w14:solidFill>
          </w14:textFill>
        </w:rPr>
        <w:t>做大秦巴医药。</w:t>
      </w:r>
      <w:r>
        <w:rPr>
          <w:rFonts w:hint="eastAsia" w:ascii="仿宋_GB2312" w:hAnsi="仿宋_GB2312" w:eastAsia="仿宋_GB2312" w:cs="仿宋_GB2312"/>
          <w:color w:val="000000" w:themeColor="text1"/>
          <w:sz w:val="32"/>
          <w:szCs w:val="32"/>
          <w14:textFill>
            <w14:solidFill>
              <w14:schemeClr w14:val="tx1"/>
            </w14:solidFill>
          </w14:textFill>
        </w:rPr>
        <w:t>推进秦巴地区药材标准化、生态化种植，开展优良品种选育推广，建设道地药材种质库和保护原种基地，支持生漆产业发展。强化医药产业科技创新，建设秦巴医药产业创新中心、中试基地和成果转化平台，开展中医药基础与应用研究，推进“中医药良方妙剂”产业化，加速新药、药妆的研发生产与资源转化，实现以良方带良药高速发展。支持医药企业智能化改造和绿色制药，持续扩大中药饮片、配方颗粒、中成药及药食同源衍生品产业规模。强化“秦巴医药”品牌培育，举办医药论坛，</w:t>
      </w:r>
      <w:r>
        <w:rPr>
          <w:rFonts w:hint="eastAsia" w:ascii="仿宋_GB2312" w:hAnsi="方正仿宋_GB2312" w:eastAsia="仿宋_GB2312" w:cs="方正仿宋_GB2312"/>
          <w:color w:val="000000" w:themeColor="text1"/>
          <w:sz w:val="32"/>
          <w:szCs w:val="32"/>
          <w14:textFill>
            <w14:solidFill>
              <w14:schemeClr w14:val="tx1"/>
            </w14:solidFill>
          </w14:textFill>
        </w:rPr>
        <w:t>开展招商推介活动。优化药材集散与流通环节，加快秦巴区域医药交易中心建设，加快特色医疗器械研发与注册、医药产品上市步伐。引进和培育骨干医药企业，推动产业向创新链高端攀升，到2030年，综合产值达到150亿元。</w:t>
      </w:r>
    </w:p>
    <w:p w14:paraId="60EA0FF9">
      <w:pPr>
        <w:pStyle w:val="13"/>
        <w:overflowPunct w:val="0"/>
        <w:topLinePunct/>
        <w:spacing w:line="560" w:lineRule="exact"/>
        <w:ind w:firstLine="643"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楷体_GB2312" w:hAnsi="楷体_GB2312" w:cs="楷体_GB2312"/>
          <w:b/>
          <w:bCs/>
          <w:color w:val="000000" w:themeColor="text1"/>
          <w:sz w:val="32"/>
          <w:szCs w:val="32"/>
          <w14:textFill>
            <w14:solidFill>
              <w14:schemeClr w14:val="tx1"/>
            </w14:solidFill>
          </w14:textFill>
        </w:rPr>
        <w:t>做强毛玩纺织。</w:t>
      </w:r>
      <w:r>
        <w:rPr>
          <w:rFonts w:hint="eastAsia" w:ascii="仿宋_GB2312" w:hAnsi="仿宋_GB2312" w:eastAsia="仿宋_GB2312" w:cs="仿宋_GB2312"/>
          <w:color w:val="000000" w:themeColor="text1"/>
          <w:sz w:val="32"/>
          <w:szCs w:val="32"/>
          <w14:textFill>
            <w14:solidFill>
              <w14:schemeClr w14:val="tx1"/>
            </w14:solidFill>
          </w14:textFill>
        </w:rPr>
        <w:t>加力推动毛绒玩具与文旅、科技、潮玩等深度融合，全面提升安康毛绒玩具五大中心运作水平，扎实推动创意设计、原辅料生产、产品加工、贸易销售等全方位提质。组建“潮玩设计联盟”，加速原创IP开发，</w:t>
      </w:r>
      <w:r>
        <w:rPr>
          <w:rFonts w:hint="eastAsia" w:ascii="仿宋_GB2312" w:hAnsi="方正仿宋_GB2312" w:eastAsia="仿宋_GB2312" w:cs="方正仿宋_GB2312"/>
          <w:color w:val="000000" w:themeColor="text1"/>
          <w:sz w:val="32"/>
          <w:szCs w:val="32"/>
          <w14:textFill>
            <w14:solidFill>
              <w14:schemeClr w14:val="tx1"/>
            </w14:solidFill>
          </w14:textFill>
        </w:rPr>
        <w:t>驱动毛绒玩具产品与模式创新，推进毛玩纺织产业向创意设计、品牌营销、智能潮玩方向升级，支持安康高新区AI毛绒玩具发展</w:t>
      </w:r>
      <w:r>
        <w:rPr>
          <w:rFonts w:hint="eastAsia" w:ascii="仿宋_GB2312" w:hAnsi="仿宋_GB2312" w:eastAsia="仿宋_GB2312" w:cs="仿宋_GB2312"/>
          <w:color w:val="000000" w:themeColor="text1"/>
          <w:sz w:val="32"/>
          <w:szCs w:val="32"/>
          <w14:textFill>
            <w14:solidFill>
              <w14:schemeClr w14:val="tx1"/>
            </w14:solidFill>
          </w14:textFill>
        </w:rPr>
        <w:t>。依托安康·中国西北纺织服装产业城，支持汉滨、汉阴、石泉、岚皋、平利、白河等县</w:t>
      </w:r>
      <w:r>
        <w:rPr>
          <w:rFonts w:hint="eastAsia" w:ascii="仿宋_GB2312" w:hAnsi="仿宋_GB2312" w:eastAsia="仿宋_GB2312" w:cs="仿宋_GB2312"/>
          <w:sz w:val="32"/>
          <w:szCs w:val="32"/>
        </w:rPr>
        <w:t>（区）</w:t>
      </w:r>
      <w:r>
        <w:rPr>
          <w:rFonts w:hint="eastAsia" w:ascii="仿宋_GB2312" w:hAnsi="仿宋_GB2312" w:eastAsia="仿宋_GB2312" w:cs="仿宋_GB2312"/>
          <w:color w:val="000000" w:themeColor="text1"/>
          <w:sz w:val="32"/>
          <w:szCs w:val="32"/>
          <w14:textFill>
            <w14:solidFill>
              <w14:schemeClr w14:val="tx1"/>
            </w14:solidFill>
          </w14:textFill>
        </w:rPr>
        <w:t>振兴传统丝绸纺织、加快汉服国风研创，构建服装配饰、袜品制造、工业防护用品等全产业链条。支持毛玩纺织企业从贴牌生产向自创品牌发展，积极拓展国内外市场。到2030年，综合产值达到300亿元，打响“中国毛绒玩具产业新都”金字招牌，叫响“丝路源点·汉服新都”。</w:t>
      </w:r>
    </w:p>
    <w:p w14:paraId="1B4C7562">
      <w:pPr>
        <w:pStyle w:val="13"/>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cs="楷体_GB2312"/>
          <w:b/>
          <w:bCs/>
          <w:color w:val="000000" w:themeColor="text1"/>
          <w:sz w:val="32"/>
          <w:szCs w:val="32"/>
          <w14:textFill>
            <w14:solidFill>
              <w14:schemeClr w14:val="tx1"/>
            </w14:solidFill>
          </w14:textFill>
        </w:rPr>
        <w:t>做专交通装备。</w:t>
      </w:r>
      <w:r>
        <w:rPr>
          <w:rFonts w:hint="eastAsia" w:ascii="仿宋_GB2312" w:hAnsi="方正仿宋_GB2312" w:eastAsia="仿宋_GB2312" w:cs="方正仿宋_GB2312"/>
          <w:color w:val="000000" w:themeColor="text1"/>
          <w:sz w:val="32"/>
          <w:szCs w:val="32"/>
          <w14:textFill>
            <w14:solidFill>
              <w14:schemeClr w14:val="tx1"/>
            </w14:solidFill>
          </w14:textFill>
        </w:rPr>
        <w:t>优化装备制造产业结构与空间布局，培育壮大链主企业，引导装备制造企业向专精特新发展。深度对接融入陕鄂渝万亿汽车产业集群，提升关键零部件制造能力，加速汽车零部件提档升级。积极承接东部地区车载智能设备和轨道交通装备关键系统制造，补齐精密铸件、模具制造短板。开展智能工厂梯度培育工作，引入工业互联网平台，推动装备制造智能化升级。引进氢燃料电池研发制造，支持内河船舶制造绿色智能发展。提升拓展农机装备、卫浴阀门、工业模具、专用设备、高端装备等其他制造业。到2030年，综合产值突破100亿元，深度融入全省装备制造产业体系，打造陕西重要的装备制造配套基地。</w:t>
      </w:r>
    </w:p>
    <w:p w14:paraId="4E60536C">
      <w:pPr>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做精消费电子。</w:t>
      </w:r>
      <w:r>
        <w:rPr>
          <w:rFonts w:hint="eastAsia" w:ascii="仿宋_GB2312" w:hAnsi="方正仿宋_GB2312" w:eastAsia="仿宋_GB2312" w:cs="方正仿宋_GB2312"/>
          <w:color w:val="000000" w:themeColor="text1"/>
          <w:sz w:val="32"/>
          <w:szCs w:val="32"/>
          <w14:textFill>
            <w14:solidFill>
              <w14:schemeClr w14:val="tx1"/>
            </w14:solidFill>
          </w14:textFill>
        </w:rPr>
        <w:t>按照龙头带动、集群配套、创新协同、链式发展的思路，围绕汽车电子、家用电器、智能终端、人工智能等大产业集群，做大电子线束产业，做强电子元器件，做精智能终端产品，做优新一代信息技术产业。整合传统消费电子产业，实施产业基础再造工程，补齐关键基础材料、集成电路等领域短板。积极承接东部电子元器件产业转移，加快半导体材料、高密度连接器、芯片等本地化配套，促进消费电子产业向高端化、精密化攀升。主动融入西安都市圈、成渝和江汉经济圈万亿级消费电子产业集群，深化技术研发、市场拓展等多领域合作，构建紧密配套协作体系，将安康建成区域重要的消费电子生产供应基地。到2030年，综合产值突破100亿元。</w:t>
      </w:r>
    </w:p>
    <w:p w14:paraId="49547467">
      <w:pPr>
        <w:spacing w:line="574" w:lineRule="exact"/>
        <w:ind w:firstLine="640" w:firstLineChars="200"/>
        <w:rPr>
          <w:rFonts w:ascii="仿宋_GB2312" w:hAnsi="方正仿宋_GB2312" w:eastAsia="仿宋_GB2312" w:cs="方正仿宋_GB2312"/>
          <w:color w:val="000000" w:themeColor="text1"/>
          <w:sz w:val="32"/>
          <w:szCs w:val="32"/>
          <w14:textFill>
            <w14:solidFill>
              <w14:schemeClr w14:val="tx1"/>
            </w14:solidFill>
          </w14:textFill>
        </w:rPr>
      </w:pP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21E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0729D321">
            <w:pPr>
              <w:pStyle w:val="31"/>
              <w:overflowPunct w:val="0"/>
              <w:topLinePunct/>
              <w:spacing w:after="0" w:line="400" w:lineRule="exact"/>
              <w:ind w:firstLine="0" w:firstLineChars="0"/>
              <w:jc w:val="center"/>
              <w:rPr>
                <w:rFonts w:ascii="Times New Roman" w:hAnsi="Times New Roman" w:eastAsia="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专栏3  绿色制造业发展工程</w:t>
            </w:r>
          </w:p>
        </w:tc>
      </w:tr>
      <w:tr w14:paraId="34E3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5000" w:type="pct"/>
          </w:tcPr>
          <w:p w14:paraId="7553CBC5">
            <w:pPr>
              <w:overflowPunct w:val="0"/>
              <w:topLinePunct/>
              <w:spacing w:before="156" w:beforeLines="50" w:line="440" w:lineRule="exact"/>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（一）新型材料。</w:t>
            </w:r>
            <w:r>
              <w:rPr>
                <w:rFonts w:hint="eastAsia" w:ascii="宋体" w:hAnsi="宋体" w:eastAsia="宋体" w:cs="Times New Roman"/>
                <w:color w:val="000000" w:themeColor="text1"/>
                <w:sz w:val="24"/>
                <w:szCs w:val="24"/>
                <w14:textFill>
                  <w14:solidFill>
                    <w14:schemeClr w14:val="tx1"/>
                  </w14:solidFill>
                </w14:textFill>
              </w:rPr>
              <w:t>建设重晶石高纯度材料加工项目；支持高新有色金属材料、汉滨绿色建筑材料、白河绿色石材产业、平利钡盐材料培育细分领域产业创新集群。推进安康化工园区、中煤零碳产业园、汉阴碳基硅基新材料产业、旬阳新材料产业园、高新区产80万吨非金属矿精深加工和废旧锂电池综合回收利用等项目建设。</w:t>
            </w:r>
          </w:p>
          <w:p w14:paraId="6418F39F">
            <w:pPr>
              <w:overflowPunct w:val="0"/>
              <w:topLinePunct/>
              <w:spacing w:line="440" w:lineRule="exact"/>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（二）秦巴医药。</w:t>
            </w:r>
            <w:r>
              <w:rPr>
                <w:rFonts w:hint="eastAsia" w:ascii="宋体" w:hAnsi="宋体" w:eastAsia="宋体" w:cs="Times New Roman"/>
                <w:color w:val="000000" w:themeColor="text1"/>
                <w:sz w:val="24"/>
                <w:szCs w:val="24"/>
                <w14:textFill>
                  <w14:solidFill>
                    <w14:schemeClr w14:val="tx1"/>
                  </w14:solidFill>
                </w14:textFill>
              </w:rPr>
              <w:t>依托绞股蓝、拐枣、黄连等优势资源，加强秦巴道地药材种植基地建设，实施“秦巴药乡”中医药健康产业融合发展示范项目，推动秦巴医药种植、加工、研发、销售全链协同发展。建成高新区秦巴生物医药产业园、镇坪中药科创园等特色园区和白河黄姜皂素全产业链、陕西省秦岭中药材交易集散中心等项目。</w:t>
            </w:r>
          </w:p>
          <w:p w14:paraId="7F0617B9">
            <w:pPr>
              <w:overflowPunct w:val="0"/>
              <w:topLinePunct/>
              <w:spacing w:line="440" w:lineRule="exact"/>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（三）毛玩纺织。</w:t>
            </w:r>
            <w:r>
              <w:rPr>
                <w:rFonts w:hint="eastAsia" w:ascii="宋体" w:hAnsi="宋体" w:eastAsia="宋体" w:cs="Times New Roman"/>
                <w:color w:val="000000" w:themeColor="text1"/>
                <w:sz w:val="24"/>
                <w:szCs w:val="24"/>
                <w14:textFill>
                  <w14:solidFill>
                    <w14:schemeClr w14:val="tx1"/>
                  </w14:solidFill>
                </w14:textFill>
              </w:rPr>
              <w:t>推进纺织产业园、极制潮品毛绒玩具、汉滨区毛绒文创总部综合实训基地等项目建设。支持恒口抓娃娃机玩具产业园、汉阴县25万锭超高捻包芯纱生产项目建设。</w:t>
            </w:r>
          </w:p>
          <w:p w14:paraId="6DFB3037">
            <w:pPr>
              <w:pStyle w:val="13"/>
              <w:overflowPunct w:val="0"/>
              <w:topLinePunct/>
              <w:spacing w:line="440" w:lineRule="exact"/>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楷体_GB2312" w:hAnsi="楷体_GB2312" w:cs="楷体_GB2312"/>
                <w:color w:val="000000" w:themeColor="text1"/>
                <w:sz w:val="24"/>
                <w14:textFill>
                  <w14:solidFill>
                    <w14:schemeClr w14:val="tx1"/>
                  </w14:solidFill>
                </w14:textFill>
              </w:rPr>
              <w:t>（四）交通装备。</w:t>
            </w:r>
            <w:r>
              <w:rPr>
                <w:rFonts w:hint="eastAsia" w:ascii="Times New Roman" w:hAnsi="Times New Roman" w:eastAsia="宋体" w:cs="Times New Roman"/>
                <w:color w:val="000000" w:themeColor="text1"/>
                <w:sz w:val="24"/>
                <w:szCs w:val="24"/>
                <w14:textFill>
                  <w14:solidFill>
                    <w14:schemeClr w14:val="tx1"/>
                  </w14:solidFill>
                </w14:textFill>
              </w:rPr>
              <w:t>建设新能源汽车机电产业园和禾瑞光汽车影像产业园，安康高新区集聚发展高端先进装备、内河船舶制造，旬阳、石泉、恒口做强专用车和汽车零部件制造，平利发展专用农机制造，岚皋拓展卫浴阀门制造，镇坪培育工业模具制造</w:t>
            </w:r>
            <w:r>
              <w:rPr>
                <w:rFonts w:ascii="Times New Roman" w:hAnsi="Times New Roman" w:eastAsia="宋体" w:cs="Times New Roman"/>
                <w:color w:val="000000" w:themeColor="text1"/>
                <w:sz w:val="24"/>
                <w:szCs w:val="24"/>
                <w14:textFill>
                  <w14:solidFill>
                    <w14:schemeClr w14:val="tx1"/>
                  </w14:solidFill>
                </w14:textFill>
              </w:rPr>
              <w:t>。</w:t>
            </w:r>
          </w:p>
          <w:p w14:paraId="78AAEE45">
            <w:pPr>
              <w:overflowPunct w:val="0"/>
              <w:topLinePunct/>
              <w:spacing w:after="93" w:afterLines="30" w:line="440" w:lineRule="exact"/>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（五）消费电子。</w:t>
            </w:r>
            <w:r>
              <w:rPr>
                <w:rFonts w:hint="eastAsia" w:ascii="宋体" w:hAnsi="宋体" w:eastAsia="宋体" w:cs="Times New Roman"/>
                <w:color w:val="000000" w:themeColor="text1"/>
                <w:sz w:val="24"/>
                <w:szCs w:val="24"/>
                <w14:textFill>
                  <w14:solidFill>
                    <w14:schemeClr w14:val="tx1"/>
                  </w14:solidFill>
                </w14:textFill>
              </w:rPr>
              <w:t>推进安康电器智能终端、液晶显示器屏及新能源材料装备制造等项目建设。支持安康高新区、汉滨电子元器件制造向关键精密部件和高端产品跃升，石泉、宁陕电子线束向网络连接、工业控制和汽车配套线束转型，高新智能安防、智能穿戴、智能家居等产品向智能化、时尚化发展。</w:t>
            </w:r>
          </w:p>
        </w:tc>
      </w:tr>
    </w:tbl>
    <w:p w14:paraId="6CD5E09E">
      <w:pPr>
        <w:pStyle w:val="6"/>
        <w:overflowPunct w:val="0"/>
        <w:topLinePunct/>
        <w:spacing w:before="249" w:beforeLines="80" w:after="249" w:afterLines="80" w:line="574" w:lineRule="exact"/>
        <w:rPr>
          <w:rFonts w:ascii="楷体_GB2312" w:hAnsi="楷体_GB2312" w:eastAsia="楷体_GB2312" w:cs="楷体_GB2312"/>
          <w:b/>
          <w:bCs/>
          <w:color w:val="000000" w:themeColor="text1"/>
          <w14:textFill>
            <w14:solidFill>
              <w14:schemeClr w14:val="tx1"/>
            </w14:solidFill>
          </w14:textFill>
        </w:rPr>
      </w:pPr>
      <w:bookmarkStart w:id="17" w:name="_Toc1726"/>
      <w:r>
        <w:rPr>
          <w:rFonts w:hint="eastAsia"/>
          <w:color w:val="000000" w:themeColor="text1"/>
          <w14:textFill>
            <w14:solidFill>
              <w14:schemeClr w14:val="tx1"/>
            </w14:solidFill>
          </w14:textFill>
        </w:rPr>
        <w:t xml:space="preserve">第四章 </w:t>
      </w:r>
      <w:bookmarkEnd w:id="15"/>
      <w:r>
        <w:rPr>
          <w:rFonts w:hint="eastAsia"/>
          <w:color w:val="000000" w:themeColor="text1"/>
          <w14:textFill>
            <w14:solidFill>
              <w14:schemeClr w14:val="tx1"/>
            </w14:solidFill>
          </w14:textFill>
        </w:rPr>
        <w:t>加强战略性新兴产业与未来产业谋划培育</w:t>
      </w:r>
      <w:bookmarkEnd w:id="17"/>
    </w:p>
    <w:p w14:paraId="7E14C952">
      <w:pPr>
        <w:overflowPunct w:val="0"/>
        <w:topLinePunct/>
        <w:spacing w:line="574" w:lineRule="exact"/>
        <w:ind w:firstLine="643"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加速战略性新兴产业发展。</w:t>
      </w:r>
      <w:r>
        <w:rPr>
          <w:rFonts w:hint="eastAsia" w:ascii="仿宋_GB2312" w:hAnsi="仿宋_GB2312" w:eastAsia="仿宋_GB2312" w:cs="仿宋_GB2312"/>
          <w:color w:val="000000" w:themeColor="text1"/>
          <w:sz w:val="32"/>
          <w:szCs w:val="32"/>
          <w14:textFill>
            <w14:solidFill>
              <w14:schemeClr w14:val="tx1"/>
            </w14:solidFill>
          </w14:textFill>
        </w:rPr>
        <w:t>聚焦先进储能、锂电回收、页岩气开发、抽水蓄能等领域，加快新能源产业集聚发展。支持先进储能创新平台建设，引进锂电池全产业链，加快全钒液流电池、锌溴液流电池等新技术推广应用。加力推进节能环保产业，大力发展碳捕集材料、催化剂材料、混合基质膜、高性能中空纤维膜材料，加强技术攻关和装备设备研发制造，培育再生资源龙头企业，发展合同能源管理、环境第三方治理等新业态。协力发展低空经济，统筹存量与增量，充分利用既有设施</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五里机场），完善布局低空垂直起降设施，推动航路航线划设，提升低空飞行管理服务保障能力。有序拓展低空航空器在安防巡查、农业植保、森林防火等领域的推广应用，积极培育低空消费新业态，促进低空经济健康发展。</w:t>
      </w:r>
      <w:r>
        <w:rPr>
          <w:rFonts w:hint="eastAsia" w:ascii="仿宋_GB2312" w:hAnsi="仿宋_GB2312" w:eastAsia="仿宋_GB2312" w:cs="仿宋_GB2312"/>
          <w:color w:val="000000" w:themeColor="text1"/>
          <w:sz w:val="32"/>
          <w:szCs w:val="32"/>
          <w14:textFill>
            <w14:solidFill>
              <w14:schemeClr w14:val="tx1"/>
            </w14:solidFill>
          </w14:textFill>
        </w:rPr>
        <w:t>着力厚植大健康产业，</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拓展“硒养、药养、森养、气养、食养”等特色路径，贯通富硒产品、秦巴医药、生态旅游等产业链条，推动“医、药、养、健、游、护”一体发展，推广医养结合、体医融合、社区居家养老等服务模式，培育健康管理、康复理疗、旅居养生等新兴业态。</w:t>
      </w:r>
    </w:p>
    <w:p w14:paraId="094A0CF4">
      <w:pPr>
        <w:overflowPunct w:val="0"/>
        <w:topLinePunct/>
        <w:spacing w:line="574" w:lineRule="exact"/>
        <w:ind w:firstLine="643" w:firstLineChars="200"/>
        <w:rPr>
          <w:rFonts w:ascii="仿宋_GB2312" w:hAns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借力谋划未来产业。</w:t>
      </w:r>
      <w:r>
        <w:rPr>
          <w:rFonts w:hint="eastAsia" w:ascii="仿宋_GB2312" w:hAnsi="仿宋_GB2312" w:eastAsia="仿宋_GB2312"/>
          <w:color w:val="000000" w:themeColor="text1"/>
          <w:sz w:val="32"/>
          <w:szCs w:val="32"/>
          <w14:textFill>
            <w14:solidFill>
              <w14:schemeClr w14:val="tx1"/>
            </w14:solidFill>
          </w14:textFill>
        </w:rPr>
        <w:t>探索建立未来产业技术预见、赛道筛选、产业孵化、投入增长、风险分担机制。跟进类脑智能、量子信息、基因技术、未来网络等重点发展方向，推进宽领域承接、分阶段培育、小切口突破、多场景应用。立足生物资源富集优势，谋划设立合成生物技术转化中心，布局发展生物制药、数字医疗等产业；聚焦前沿材料研发应用，推动生物材料、超导材料等产业布局。超前布局第六代移动通信、元宇宙、卫星互联网等产业，在新一代信息技术、人工智能、合成生物等领域落地一批重大应用和产业化项目。</w:t>
      </w:r>
    </w:p>
    <w:p w14:paraId="3819A8D9">
      <w:pPr>
        <w:pStyle w:val="6"/>
        <w:overflowPunct w:val="0"/>
        <w:topLinePunct/>
        <w:spacing w:before="312" w:beforeLines="100" w:after="312" w:afterLines="100" w:line="574" w:lineRule="exact"/>
        <w:rPr>
          <w:color w:val="000000" w:themeColor="text1"/>
          <w14:textFill>
            <w14:solidFill>
              <w14:schemeClr w14:val="tx1"/>
            </w14:solidFill>
          </w14:textFill>
        </w:rPr>
      </w:pPr>
      <w:bookmarkStart w:id="18" w:name="_Toc8450"/>
      <w:r>
        <w:rPr>
          <w:rFonts w:hint="eastAsia"/>
          <w:color w:val="000000" w:themeColor="text1"/>
          <w14:textFill>
            <w14:solidFill>
              <w14:schemeClr w14:val="tx1"/>
            </w14:solidFill>
          </w14:textFill>
        </w:rPr>
        <w:t>第五章 扎实推进特色现代农业建设</w:t>
      </w:r>
      <w:bookmarkEnd w:id="18"/>
    </w:p>
    <w:p w14:paraId="6F1F44A7">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提高农业生产能力。</w:t>
      </w:r>
      <w:r>
        <w:rPr>
          <w:rFonts w:hint="eastAsia" w:ascii="仿宋_GB2312" w:hAnsi="方正仿宋_GB2312" w:eastAsia="仿宋_GB2312" w:cs="方正仿宋_GB2312"/>
          <w:color w:val="000000" w:themeColor="text1"/>
          <w:sz w:val="32"/>
          <w:szCs w:val="32"/>
          <w14:textFill>
            <w14:solidFill>
              <w14:schemeClr w14:val="tx1"/>
            </w14:solidFill>
          </w14:textFill>
        </w:rPr>
        <w:t>坚持“稳面积、提单产”两手发力，大力实施藏粮于地、藏粮于技，协同推进“五良”配套，提高农业综合生产能力。深入开展粮油大面积单产提升行动，健全高标准农田建设、验收和管护机制，常态化抓好耕地撂荒地和永久基本农田“非粮化”治理，稳定粮食播种面积和产量。做大做优现代种业，建设特色优势种业基地，加快种业科技攻关，促进种业成果加快转化。实施主要农作物生产全程机械化推进行动，提升农产品初加工和病虫害防治等机械化装备水平，大力推广茶叶、蔬菜、畜牧业等生产和加工机械化技术。建设一批高标准“菜篮子”生产示范基地和肉蛋奶应急保供基地，稳定蔬菜种植面积和畜禽养殖数量。</w:t>
      </w:r>
      <w:r>
        <w:rPr>
          <w:rFonts w:hint="eastAsia" w:ascii="仿宋_GB2312" w:hAnsi="仿宋_GB2312" w:eastAsia="仿宋_GB2312" w:cs="仿宋_GB2312"/>
          <w:color w:val="000000" w:themeColor="text1"/>
          <w:sz w:val="32"/>
          <w:szCs w:val="32"/>
          <w14:textFill>
            <w14:solidFill>
              <w14:schemeClr w14:val="tx1"/>
            </w14:solidFill>
          </w14:textFill>
        </w:rPr>
        <w:t>到2030年，全市茶叶产量6.5万吨、畜禽肉类总产量13万吨、魔芋面积120万亩、水产品产量10万吨、蚕桑产茧量8000吨。</w:t>
      </w:r>
    </w:p>
    <w:p w14:paraId="4433B63B">
      <w:pPr>
        <w:pStyle w:val="15"/>
        <w:spacing w:line="574" w:lineRule="exact"/>
        <w:ind w:firstLine="643" w:firstLineChars="200"/>
        <w:jc w:val="both"/>
        <w:rPr>
          <w:rFonts w:ascii="仿宋_GB2312" w:hAnsi="仿宋_GB2312"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发展特色乡村产业。</w:t>
      </w:r>
      <w:r>
        <w:rPr>
          <w:rFonts w:hint="eastAsia" w:ascii="仿宋_GB2312" w:hAnsi="仿宋_GB2312" w:eastAsia="仿宋_GB2312"/>
          <w:color w:val="000000" w:themeColor="text1"/>
          <w:sz w:val="32"/>
          <w:szCs w:val="32"/>
          <w14:textFill>
            <w14:solidFill>
              <w14:schemeClr w14:val="tx1"/>
            </w14:solidFill>
          </w14:textFill>
        </w:rPr>
        <w:t>坚持产量产能、生产生态、增产增收一体推进，统筹发展科技农业、绿色农业、质量农业、品牌农业，加快培育农业新质生产力，建设秦巴山区特色农业强市。做好“土特产”文章，</w:t>
      </w:r>
      <w:r>
        <w:rPr>
          <w:rFonts w:hint="eastAsia" w:ascii="仿宋_GB2312" w:hAnsi="仿宋_GB2312" w:eastAsia="仿宋_GB2312" w:cs="Times New Roman"/>
          <w:color w:val="000000" w:themeColor="text1"/>
          <w:sz w:val="32"/>
          <w:szCs w:val="32"/>
          <w14:textFill>
            <w14:solidFill>
              <w14:schemeClr w14:val="tx1"/>
            </w14:solidFill>
          </w14:textFill>
        </w:rPr>
        <w:t>推进“6+X”特色产业全链条升级，持续做强生猪、茶叶、魔芋、生态渔业、核桃、蚕桑六大重点产业。培育壮大食用菌、中药材、设施蔬菜、猕猴桃、狮头柑等区域性特色产业；持续发展特色林果、林下种养、森林康旅、自然体验等山林经济，加快山林资源综合开发，做大拐枣、木瓜、板栗、漆树等林业产业。构建县域特色产业体系，建设秦巴乡土特色产品集散中心，打造一批优势特色农业产业集群、现代农业产业园、农业产业强镇、特色产业专业村</w:t>
      </w:r>
      <w:r>
        <w:rPr>
          <w:rFonts w:hint="eastAsia" w:ascii="仿宋_GB2312" w:hAnsi="仿宋_GB2312" w:eastAsia="仿宋_GB2312"/>
          <w:color w:val="000000" w:themeColor="text1"/>
          <w:sz w:val="32"/>
          <w:szCs w:val="32"/>
          <w14:textFill>
            <w14:solidFill>
              <w14:schemeClr w14:val="tx1"/>
            </w14:solidFill>
          </w14:textFill>
        </w:rPr>
        <w:t>。实施农业品牌培优计划，培育推介一批产品优、信誉好、带动作用明显、具有核心竞争力的企业品牌和优质特色农产品品牌，</w:t>
      </w:r>
      <w:r>
        <w:rPr>
          <w:rFonts w:hint="eastAsia" w:ascii="仿宋_GB2312" w:hAnsi="仿宋_GB2312" w:eastAsia="仿宋_GB2312" w:cs="仿宋_GB2312"/>
          <w:color w:val="000000" w:themeColor="text1"/>
          <w:sz w:val="32"/>
          <w:szCs w:val="32"/>
          <w14:textFill>
            <w14:solidFill>
              <w14:schemeClr w14:val="tx1"/>
            </w14:solidFill>
          </w14:textFill>
        </w:rPr>
        <w:t>鼓励开展产品认证和品牌建设，打响农产品区域公用品牌，</w:t>
      </w:r>
      <w:r>
        <w:rPr>
          <w:rFonts w:hint="eastAsia" w:ascii="仿宋_GB2312" w:hAnsi="仿宋_GB2312" w:eastAsia="仿宋_GB2312"/>
          <w:color w:val="000000" w:themeColor="text1"/>
          <w:sz w:val="32"/>
          <w:szCs w:val="32"/>
          <w14:textFill>
            <w14:solidFill>
              <w14:schemeClr w14:val="tx1"/>
            </w14:solidFill>
          </w14:textFill>
        </w:rPr>
        <w:t>提升农业质量效益和竞争力。</w:t>
      </w:r>
    </w:p>
    <w:p w14:paraId="0324A364">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完善现代化农业经营体系。</w:t>
      </w:r>
      <w:r>
        <w:rPr>
          <w:rFonts w:hint="eastAsia" w:ascii="仿宋_GB2312" w:hAnsi="方正仿宋_GB2312" w:eastAsia="仿宋_GB2312" w:cs="方正仿宋_GB2312"/>
          <w:color w:val="000000" w:themeColor="text1"/>
          <w:sz w:val="32"/>
          <w:szCs w:val="32"/>
          <w14:textFill>
            <w14:solidFill>
              <w14:schemeClr w14:val="tx1"/>
            </w14:solidFill>
          </w14:textFill>
        </w:rPr>
        <w:t>对标国家农业现代化发展要求，构建以小农户为基础、新型农业经营主体为重点、社会化服务为支撑的现代农业经营体系。</w:t>
      </w:r>
      <w:r>
        <w:rPr>
          <w:rFonts w:hint="eastAsia" w:ascii="仿宋_GB2312" w:hAnsi="仿宋_GB2312" w:eastAsia="仿宋_GB2312" w:cs="Times New Roman"/>
          <w:color w:val="000000" w:themeColor="text1"/>
          <w:sz w:val="32"/>
          <w:szCs w:val="32"/>
          <w14:textFill>
            <w14:solidFill>
              <w14:schemeClr w14:val="tx1"/>
            </w14:solidFill>
          </w14:textFill>
        </w:rPr>
        <w:t>加快培育新型农业经营主体，</w:t>
      </w:r>
      <w:r>
        <w:rPr>
          <w:rFonts w:hint="eastAsia" w:ascii="仿宋_GB2312" w:hAnsi="方正仿宋_GB2312" w:eastAsia="仿宋_GB2312" w:cs="方正仿宋_GB2312"/>
          <w:color w:val="000000" w:themeColor="text1"/>
          <w:sz w:val="32"/>
          <w:szCs w:val="32"/>
          <w14:textFill>
            <w14:solidFill>
              <w14:schemeClr w14:val="tx1"/>
            </w14:solidFill>
          </w14:textFill>
        </w:rPr>
        <w:t>重点培育特色产业“链主”企业，提升龙头企业带动能力，规范发展农民合作社、家庭农场，培养一批符合现代农业需求、掌握核心技能的“新农人”</w:t>
      </w:r>
      <w:r>
        <w:rPr>
          <w:rFonts w:hint="eastAsia" w:ascii="仿宋_GB2312" w:hAnsi="仿宋_GB2312" w:eastAsia="仿宋_GB2312" w:cs="Times New Roman"/>
          <w:color w:val="000000" w:themeColor="text1"/>
          <w:sz w:val="32"/>
          <w:szCs w:val="32"/>
          <w14:textFill>
            <w14:solidFill>
              <w14:schemeClr w14:val="tx1"/>
            </w14:solidFill>
          </w14:textFill>
        </w:rPr>
        <w:t>。</w:t>
      </w:r>
      <w:r>
        <w:rPr>
          <w:rFonts w:hint="eastAsia" w:ascii="仿宋_GB2312" w:hAnsi="方正仿宋_GB2312" w:eastAsia="仿宋_GB2312" w:cs="方正仿宋_GB2312"/>
          <w:color w:val="000000" w:themeColor="text1"/>
          <w:sz w:val="32"/>
          <w:szCs w:val="32"/>
          <w14:textFill>
            <w14:solidFill>
              <w14:schemeClr w14:val="tx1"/>
            </w14:solidFill>
          </w14:textFill>
        </w:rPr>
        <w:t>推进适度规模经营，引导土地有序流转，健全农业社会化服务体系，建设农业全产业链综合服务平台，推广主体多元、形式多样的社会化服务模式，促进小农户与现代农业有机衔接。</w:t>
      </w:r>
    </w:p>
    <w:p w14:paraId="6F5F92DE">
      <w:pPr>
        <w:pStyle w:val="26"/>
        <w:spacing w:line="574"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做优现代农业园区。</w:t>
      </w:r>
      <w:r>
        <w:rPr>
          <w:rFonts w:hint="eastAsia" w:ascii="仿宋_GB2312" w:hAnsi="仿宋_GB2312" w:eastAsia="仿宋_GB2312" w:cs="仿宋_GB2312"/>
          <w:color w:val="000000" w:themeColor="text1"/>
          <w:spacing w:val="7"/>
          <w:sz w:val="32"/>
          <w:szCs w:val="32"/>
          <w14:textFill>
            <w14:solidFill>
              <w14:schemeClr w14:val="tx1"/>
            </w14:solidFill>
          </w14:textFill>
        </w:rPr>
        <w:t>以“</w:t>
      </w:r>
      <w:r>
        <w:rPr>
          <w:rFonts w:hint="eastAsia" w:ascii="仿宋_GB2312" w:hAnsi="仿宋_GB2312" w:eastAsia="仿宋_GB2312" w:cs="仿宋_GB2312"/>
          <w:color w:val="000000" w:themeColor="text1"/>
          <w:sz w:val="32"/>
          <w:szCs w:val="32"/>
          <w14:textFill>
            <w14:solidFill>
              <w14:schemeClr w14:val="tx1"/>
            </w14:solidFill>
          </w14:textFill>
        </w:rPr>
        <w:t>富硒+有机”为主攻方向，深入推进“百园航母、千园提升、村村覆盖”工程，积极争取国家和省级现代农业产业园建设，</w:t>
      </w:r>
      <w:r>
        <w:rPr>
          <w:rFonts w:hint="eastAsia" w:ascii="仿宋_GB2312" w:hAnsi="仿宋_GB2312" w:eastAsia="仿宋_GB2312" w:cs="仿宋_GB2312"/>
          <w:color w:val="000000" w:themeColor="text1"/>
          <w:spacing w:val="4"/>
          <w:sz w:val="32"/>
          <w:szCs w:val="32"/>
          <w14:textFill>
            <w14:solidFill>
              <w14:schemeClr w14:val="tx1"/>
            </w14:solidFill>
          </w14:textFill>
        </w:rPr>
        <w:t>推进现代农业园区分级</w:t>
      </w:r>
      <w:r>
        <w:rPr>
          <w:rFonts w:hint="eastAsia" w:ascii="仿宋_GB2312" w:hAnsi="仿宋_GB2312" w:eastAsia="仿宋_GB2312" w:cs="仿宋_GB2312"/>
          <w:color w:val="000000" w:themeColor="text1"/>
          <w:spacing w:val="3"/>
          <w:sz w:val="32"/>
          <w:szCs w:val="32"/>
          <w14:textFill>
            <w14:solidFill>
              <w14:schemeClr w14:val="tx1"/>
            </w14:solidFill>
          </w14:textFill>
        </w:rPr>
        <w:t>分类管理，</w:t>
      </w:r>
      <w:r>
        <w:rPr>
          <w:rFonts w:hint="eastAsia" w:ascii="仿宋_GB2312" w:hAnsi="仿宋_GB2312" w:eastAsia="仿宋_GB2312" w:cs="仿宋_GB2312"/>
          <w:color w:val="000000" w:themeColor="text1"/>
          <w:sz w:val="32"/>
          <w:szCs w:val="32"/>
          <w14:textFill>
            <w14:solidFill>
              <w14:schemeClr w14:val="tx1"/>
            </w14:solidFill>
          </w14:textFill>
        </w:rPr>
        <w:t>打造一批产业特色鲜明、要素高度聚集、设施装备先进、内生动力充足、运行机制高效的现代农业园区</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推动有条件地区山上耕地逐步调整到山下，果树苗木等农业产业园区上山上坡。促进农业园区与旅游度假、教育文化、科普研学、休闲康养等互补互融，建成一批一二三产业融合示范园区，打造农业园区一园一品、一园一景、一园一韵，形成“农业+”多类型的园区产业业态。</w:t>
      </w:r>
    </w:p>
    <w:p w14:paraId="44112B40">
      <w:pPr>
        <w:pStyle w:val="26"/>
        <w:spacing w:line="514" w:lineRule="exact"/>
        <w:ind w:firstLine="640"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8B0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0898463C">
            <w:pPr>
              <w:overflowPunct w:val="0"/>
              <w:topLinePunct/>
              <w:adjustRightInd w:val="0"/>
              <w:snapToGrid w:val="0"/>
              <w:spacing w:line="580" w:lineRule="exact"/>
              <w:jc w:val="center"/>
              <w:rPr>
                <w:rFonts w:ascii="方正仿宋_GB2312" w:hAnsi="方正仿宋_GB2312" w:eastAsia="黑体" w:cs="方正仿宋_GB2312"/>
                <w:snapToGrid w:val="0"/>
                <w:color w:val="000000" w:themeColor="text1"/>
                <w:kern w:val="0"/>
                <w:sz w:val="32"/>
                <w:szCs w:val="32"/>
                <w14:textFill>
                  <w14:solidFill>
                    <w14:schemeClr w14:val="tx1"/>
                  </w14:solidFill>
                </w14:textFill>
              </w:rPr>
            </w:pPr>
            <w:r>
              <w:rPr>
                <w:rFonts w:hint="eastAsia" w:ascii="黑体" w:hAnsi="黑体" w:eastAsia="黑体" w:cs="黑体"/>
                <w:snapToGrid w:val="0"/>
                <w:color w:val="000000" w:themeColor="text1"/>
                <w:kern w:val="0"/>
                <w:sz w:val="28"/>
                <w:szCs w:val="28"/>
                <w14:textFill>
                  <w14:solidFill>
                    <w14:schemeClr w14:val="tx1"/>
                  </w14:solidFill>
                </w14:textFill>
              </w:rPr>
              <w:t>专栏4  乡村特色产业提升工程</w:t>
            </w:r>
          </w:p>
        </w:tc>
      </w:tr>
      <w:tr w14:paraId="6B91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49EA8B28">
            <w:pPr>
              <w:overflowPunct w:val="0"/>
              <w:topLinePunct/>
              <w:spacing w:before="93" w:beforeLines="30" w:line="43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（一）龙头骨干企业培育工程。</w:t>
            </w:r>
            <w:r>
              <w:rPr>
                <w:rFonts w:hint="eastAsia" w:ascii="宋体" w:hAnsi="宋体" w:eastAsia="宋体" w:cs="宋体"/>
                <w:color w:val="000000" w:themeColor="text1"/>
                <w:sz w:val="24"/>
                <w:szCs w:val="24"/>
                <w14:textFill>
                  <w14:solidFill>
                    <w14:schemeClr w14:val="tx1"/>
                  </w14:solidFill>
                </w14:textFill>
              </w:rPr>
              <w:t>以产业链长制为抓手，以规模经营为依托，以利益联结为纽带，深入实施新型农业经营主体能力提升行动，加大农业产业化重点龙头企业培育支持力度，大力推广“村集体+龙头企业+合作社+农户”模式，发展一批联农带农能力强的龙头企业和产业化联合体，带动农民专业合作社、家庭农场和社会化服务组织提质增效。大力推进“一县一网红、一村一主播”培育工程，加快农村电商转型升级。</w:t>
            </w:r>
          </w:p>
          <w:p w14:paraId="476E7702">
            <w:pPr>
              <w:overflowPunct w:val="0"/>
              <w:topLinePunct/>
              <w:spacing w:line="43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（二）富硒有机园区提升工程。</w:t>
            </w:r>
            <w:r>
              <w:rPr>
                <w:rFonts w:hint="eastAsia" w:ascii="Times New Roman" w:hAnsi="Times New Roman" w:eastAsia="宋体" w:cs="Times New Roman"/>
                <w:color w:val="000000" w:themeColor="text1"/>
                <w:sz w:val="24"/>
                <w:szCs w:val="24"/>
                <w14:textFill>
                  <w14:solidFill>
                    <w14:schemeClr w14:val="tx1"/>
                  </w14:solidFill>
                </w14:textFill>
              </w:rPr>
              <w:t>坚持数量质量并举、规模效益并重，深入实施“百园航母、千园提升、村村覆盖”工程，加大园区富硒、绿色、有机、名特优新产品认证力度，新培育扶持市级园区、航母园区</w:t>
            </w:r>
            <w:r>
              <w:rPr>
                <w:rFonts w:hint="eastAsia" w:ascii="宋体" w:hAnsi="宋体" w:eastAsia="宋体" w:cs="宋体"/>
                <w:color w:val="000000" w:themeColor="text1"/>
                <w:sz w:val="24"/>
                <w:szCs w:val="24"/>
                <w14:textFill>
                  <w14:solidFill>
                    <w14:schemeClr w14:val="tx1"/>
                  </w14:solidFill>
                </w14:textFill>
              </w:rPr>
              <w:t>150个以</w:t>
            </w:r>
            <w:r>
              <w:rPr>
                <w:rFonts w:hint="eastAsia" w:ascii="Times New Roman" w:hAnsi="Times New Roman" w:eastAsia="宋体" w:cs="Times New Roman"/>
                <w:color w:val="000000" w:themeColor="text1"/>
                <w:sz w:val="24"/>
                <w:szCs w:val="24"/>
                <w14:textFill>
                  <w14:solidFill>
                    <w14:schemeClr w14:val="tx1"/>
                  </w14:solidFill>
                </w14:textFill>
              </w:rPr>
              <w:t>上，持续做强航母园区、做优市级园区、做精县级园区，构建航母引领、市级主导、县级支撑的现代农业园区发展体系。推行园区与科研院校建立合作平台，加快科技成果转化应用和关键技术研发，大力发展园区新质生产力，培育一批智慧农业园区和一二三产融合农业园区。</w:t>
            </w:r>
          </w:p>
          <w:p w14:paraId="2405EEAE">
            <w:pPr>
              <w:spacing w:after="93" w:afterLines="30"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（三）重点单品冠军打造工程。</w:t>
            </w:r>
            <w:r>
              <w:rPr>
                <w:rFonts w:hint="eastAsia" w:ascii="Times New Roman" w:hAnsi="Times New Roman" w:eastAsia="宋体" w:cs="Times New Roman"/>
                <w:color w:val="000000" w:themeColor="text1"/>
                <w:sz w:val="24"/>
                <w:szCs w:val="24"/>
                <w14:textFill>
                  <w14:solidFill>
                    <w14:schemeClr w14:val="tx1"/>
                  </w14:solidFill>
                </w14:textFill>
              </w:rPr>
              <w:t>依托硒资源和生态优势，聚焦安康白茶、抹茶、富硒猪肉、鲟鱼、冷水鱼、魔芋功能食品、桑蚕茧制品、中药材提取物等具有市场潜力的特色品类，通过全产业链构建、科技赋能和品牌化营销，开发打造一批高附加值终端产品，实现从“特产”到“冠军单品”的跨越。</w:t>
            </w:r>
          </w:p>
        </w:tc>
      </w:tr>
    </w:tbl>
    <w:p w14:paraId="3CD3D8C4">
      <w:pPr>
        <w:pStyle w:val="6"/>
        <w:overflowPunct w:val="0"/>
        <w:topLinePunct/>
        <w:spacing w:before="249" w:beforeLines="80" w:after="249" w:afterLines="80"/>
        <w:rPr>
          <w:color w:val="000000" w:themeColor="text1"/>
          <w14:textFill>
            <w14:solidFill>
              <w14:schemeClr w14:val="tx1"/>
            </w14:solidFill>
          </w14:textFill>
        </w:rPr>
      </w:pPr>
      <w:bookmarkStart w:id="19" w:name="_Toc16430"/>
      <w:r>
        <w:rPr>
          <w:rFonts w:hint="eastAsia"/>
          <w:color w:val="000000" w:themeColor="text1"/>
          <w14:textFill>
            <w14:solidFill>
              <w14:schemeClr w14:val="tx1"/>
            </w14:solidFill>
          </w14:textFill>
        </w:rPr>
        <w:t>第六章 促进现代服务业高效发展</w:t>
      </w:r>
      <w:bookmarkEnd w:id="19"/>
    </w:p>
    <w:bookmarkEnd w:id="16"/>
    <w:p w14:paraId="533EC3C5">
      <w:pPr>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培育生产性服务业。</w:t>
      </w:r>
      <w:r>
        <w:rPr>
          <w:rFonts w:hint="eastAsia" w:ascii="仿宋_GB2312" w:hAnsi="仿宋_GB2312" w:eastAsia="仿宋_GB2312" w:cs="仿宋_GB2312"/>
          <w:color w:val="000000" w:themeColor="text1"/>
          <w:sz w:val="32"/>
          <w:szCs w:val="32"/>
          <w14:textFill>
            <w14:solidFill>
              <w14:schemeClr w14:val="tx1"/>
            </w14:solidFill>
          </w14:textFill>
        </w:rPr>
        <w:t>推动生产性服务业向专业化、价值链高端攀升，壮大适配本地优势产业的新业态新模式，培育现代服务业发展新引擎。聚焦富硒食品、生物医药、生态环保、清洁能源等安康特色产业转型升级需求，依托优势企业、重点园区和科研院校，搭建研发设计资源共享平台，提升研发设计服务业水平。鼓励各类金融机构在安康设立分支机构，规范发展融资性担保公司、小额贷款公司等地方融资机构，支持金融机构开发特色产品、创新服务模式并优化网点功能，全面提升金融服务业效率和水平。重点培育面向特色产业的会展服务、人力资源服务、经纪代理等业态，发展人力资源培训与经纪代理服务，引进一批检验检测认证、商务咨询机构，增强生产性服务业对产业升级的支撑能力。</w:t>
      </w:r>
    </w:p>
    <w:p w14:paraId="5498CD21">
      <w:pPr>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提升生活性服务业。</w:t>
      </w:r>
      <w:r>
        <w:rPr>
          <w:rFonts w:hint="eastAsia" w:ascii="仿宋_GB2312" w:hAnsi="仿宋_GB2312" w:eastAsia="仿宋_GB2312" w:cs="仿宋_GB2312"/>
          <w:color w:val="000000" w:themeColor="text1"/>
          <w:sz w:val="32"/>
          <w:szCs w:val="32"/>
          <w14:textFill>
            <w14:solidFill>
              <w14:schemeClr w14:val="tx1"/>
            </w14:solidFill>
          </w14:textFill>
        </w:rPr>
        <w:t>促进生活性服务业向高品质、多样化、便利化升级，更好满足群众美好生活需要。积极培育夜间经济、冰雪经济、赛事经济、假日经济、演艺经济等特色经济形态，扩大餐饮住宿、健康养老、育幼家政、文体休闲等民生服务业有效供给。完善县域商业体系，构建15分钟便民生活服务圈，逐步实现“快递进村”全覆盖。大力发展家政服务、房产服务、养老育幼等贴近群众生活的业态，推动生活性服务业与居民消费需求深度适配，打造覆盖全生命周期的生活服务体系，提升城乡居民生活便利度与幸福感。</w:t>
      </w:r>
    </w:p>
    <w:p w14:paraId="752ED648">
      <w:pPr>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推动“两业”深度融合发展。</w:t>
      </w:r>
      <w:r>
        <w:rPr>
          <w:rFonts w:hint="eastAsia" w:ascii="仿宋_GB2312" w:hAnsi="仿宋_GB2312" w:eastAsia="仿宋_GB2312" w:cs="仿宋_GB2312"/>
          <w:color w:val="000000" w:themeColor="text1"/>
          <w:sz w:val="32"/>
          <w:szCs w:val="32"/>
          <w14:textFill>
            <w14:solidFill>
              <w14:schemeClr w14:val="tx1"/>
            </w14:solidFill>
          </w14:textFill>
        </w:rPr>
        <w:t>推进先进制造业与现代服务业深度融合，构建具有安康特色的融合发展生态圈。推动生产型制造向服务型制造转型，鼓励支持装备制造、纺织服装等制造企业围绕产品功能拓展服务业务，推动网络众包、个性定制、云制造等制造服务，拓展服务范围和半径，促进制造业向服务型制造延伸，推进服务业数智化。支持电商、物流、研发设计等服务企业运用大数据、人工智能等技术赋能制造业，开展联合采购、协同制造、共享工厂等创新实践。推进先进制造业和现代服务业融合发展，培育一批创新活跃、效益显著的融合主体，有效整合资源要素，形成融合发展生态圈。</w:t>
      </w:r>
    </w:p>
    <w:p w14:paraId="1BE2FCC8">
      <w:pPr>
        <w:pStyle w:val="6"/>
        <w:overflowPunct w:val="0"/>
        <w:topLinePunct/>
        <w:spacing w:before="312" w:beforeLines="100" w:after="312" w:afterLines="100"/>
        <w:jc w:val="center"/>
        <w:rPr>
          <w:color w:val="000000" w:themeColor="text1"/>
          <w14:textFill>
            <w14:solidFill>
              <w14:schemeClr w14:val="tx1"/>
            </w14:solidFill>
          </w14:textFill>
        </w:rPr>
      </w:pPr>
      <w:bookmarkStart w:id="20" w:name="_Toc29555"/>
      <w:bookmarkStart w:id="21" w:name="_Toc27921"/>
      <w:r>
        <w:rPr>
          <w:rFonts w:hint="eastAsia"/>
          <w:color w:val="000000" w:themeColor="text1"/>
          <w14:textFill>
            <w14:solidFill>
              <w14:schemeClr w14:val="tx1"/>
            </w14:solidFill>
          </w14:textFill>
        </w:rPr>
        <w:t>第七章 强化三次产业融合发展</w:t>
      </w:r>
      <w:bookmarkEnd w:id="20"/>
    </w:p>
    <w:p w14:paraId="7915C797">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深化一二三产业融合发展。</w:t>
      </w:r>
      <w:r>
        <w:rPr>
          <w:rFonts w:hint="eastAsia" w:ascii="仿宋_GB2312" w:hAnsi="仿宋_GB2312" w:eastAsia="仿宋_GB2312" w:cs="仿宋_GB2312"/>
          <w:color w:val="000000" w:themeColor="text1"/>
          <w:sz w:val="32"/>
          <w:szCs w:val="32"/>
          <w14:textFill>
            <w14:solidFill>
              <w14:schemeClr w14:val="tx1"/>
            </w14:solidFill>
          </w14:textFill>
        </w:rPr>
        <w:t>实施农产品加工业高质量发展行动，以延链补链强链为导向，完善产地预冷、冷链运输、仓储保鲜全链条物流配送体系，在重点产区布局标准化冷链基础设施，夯实产业发展基础。鼓励涉农加工龙头企业牵头建设高标准原料生产基地，推广“企业+合作社+农户”等紧密型利益联结模式，提升原料供给质量与稳定性，强化产业链前端保障。深化农超对接、农企直配等产销衔接机制，依托电商公共服务体系拓宽直销渠道，培育“线上+线下”融合的新型产销模式。以特色农业资源为依托，培育休闲农业、农耕体验、乡村康养等农旅融合新业态，推动农业与加工、旅游、文化等产业深度融合，实现农业“接二连三”增值发展，提升农业产业综合效益。</w:t>
      </w:r>
    </w:p>
    <w:p w14:paraId="2EE07525">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以数智化引领三次产业协同联动。</w:t>
      </w:r>
      <w:r>
        <w:rPr>
          <w:rFonts w:hint="eastAsia" w:ascii="仿宋_GB2312" w:hAnsi="仿宋_GB2312" w:eastAsia="仿宋_GB2312" w:cs="仿宋_GB2312"/>
          <w:color w:val="000000" w:themeColor="text1"/>
          <w:sz w:val="32"/>
          <w:szCs w:val="32"/>
          <w14:textFill>
            <w14:solidFill>
              <w14:schemeClr w14:val="tx1"/>
            </w14:solidFill>
          </w14:textFill>
        </w:rPr>
        <w:t>加快制造业数智赋能转型，聚焦特色农产品加工、生态友好型装备制造等重点产业领域，以数字化、智能化改造为抓手，推广智能制造生产线、工业互联网平台应用，培育壮大服务型制造主体，推动传统制造模式向服务型制造升级。积极探索数字孪生、数字仿真等技术在设计研发、生产制造、质量管控、服务体验等环节的应用，拓展在线定制、柔性生产、工业旅游、远程运维等新业态新模式，提升制造业核心竞争力。以科技创新为纽带，推动物流、金融、科技服务等现代服务业数智化转型，提升现代服务业与先进制造业、特色现代农业融合发展水平。依托各类科技创新平台，强化产业间要素流动与资源共享，促进三次产业在技术创新、业态培育、模式融合等方面协同联动，构建特色鲜明、高效协同的三次产业融合发展新格局。</w:t>
      </w:r>
    </w:p>
    <w:p w14:paraId="7115A65C">
      <w:pPr>
        <w:pStyle w:val="6"/>
        <w:overflowPunct w:val="0"/>
        <w:topLinePunct/>
        <w:spacing w:before="312" w:beforeLines="100" w:after="312" w:afterLines="100"/>
        <w:rPr>
          <w:color w:val="000000" w:themeColor="text1"/>
          <w14:textFill>
            <w14:solidFill>
              <w14:schemeClr w14:val="tx1"/>
            </w14:solidFill>
          </w14:textFill>
        </w:rPr>
      </w:pPr>
      <w:bookmarkStart w:id="22" w:name="_Toc22324"/>
      <w:r>
        <w:rPr>
          <w:rFonts w:hint="eastAsia"/>
          <w:color w:val="000000" w:themeColor="text1"/>
          <w14:textFill>
            <w14:solidFill>
              <w14:schemeClr w14:val="tx1"/>
            </w14:solidFill>
          </w14:textFill>
        </w:rPr>
        <w:t>第八章 积极发展数字经济和人工智能</w:t>
      </w:r>
      <w:bookmarkEnd w:id="22"/>
    </w:p>
    <w:p w14:paraId="6929C58B">
      <w:pPr>
        <w:overflowPunct w:val="0"/>
        <w:topLinePunct/>
        <w:adjustRightInd w:val="0"/>
        <w:snapToGrid w:val="0"/>
        <w:spacing w:line="560" w:lineRule="exact"/>
        <w:ind w:firstLine="643" w:firstLineChars="200"/>
        <w:rPr>
          <w:rFonts w:ascii="楷体_GB2312" w:hAnsi="楷体_GB2312" w:eastAsia="楷体_GB2312" w:cs="楷体_GB2312"/>
          <w:b/>
          <w:bCs/>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加强数字基础设施建设。</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推进网络基础设施建设，重点布局5G、物联网、工业互联网、卫星互联网，实现城区及重点区域5G高标准覆盖，按需推进5G网络向5G-A升级演进。加快千兆光网升级改造进程，开展万兆光网试点建设，筑牢高速泛在的网络基础。布局新型算力基础设施，积极融入全国一体化算力网络，加速多元算力供给，构建集约高效、绿色低碳的算力支撑体系。打造全市一体化公共数据资源平台，建设泛在智慧城市感知设施，高质量推进数据基础设施建设。</w:t>
      </w:r>
    </w:p>
    <w:p w14:paraId="0F147743">
      <w:pPr>
        <w:overflowPunct w:val="0"/>
        <w:topLinePunct/>
        <w:adjustRightInd w:val="0"/>
        <w:snapToGrid w:val="0"/>
        <w:spacing w:line="560" w:lineRule="exact"/>
        <w:ind w:firstLine="643" w:firstLineChars="200"/>
        <w:rPr>
          <w:rFonts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加快发展数字经济。</w:t>
      </w:r>
      <w:r>
        <w:rPr>
          <w:rFonts w:hint="eastAsia" w:ascii="仿宋_GB2312" w:hAnsi="仿宋_GB2312" w:eastAsia="仿宋_GB2312" w:cs="仿宋_GB2312"/>
          <w:color w:val="000000" w:themeColor="text1"/>
          <w:sz w:val="32"/>
          <w:szCs w:val="32"/>
          <w:lang w:bidi="ar"/>
          <w14:textFill>
            <w14:solidFill>
              <w14:schemeClr w14:val="tx1"/>
            </w14:solidFill>
          </w14:textFill>
        </w:rPr>
        <w:t>培育壮大数据产业，发挥数字技术创新引领作用，</w:t>
      </w:r>
      <w:r>
        <w:rPr>
          <w:rFonts w:hint="eastAsia" w:ascii="仿宋_GB2312" w:hAnsi="仿宋_GB2312" w:eastAsia="仿宋_GB2312" w:cs="仿宋_GB2312"/>
          <w:color w:val="000000" w:themeColor="text1"/>
          <w:sz w:val="32"/>
          <w:szCs w:val="32"/>
          <w14:textFill>
            <w14:solidFill>
              <w14:schemeClr w14:val="tx1"/>
            </w14:solidFill>
          </w14:textFill>
        </w:rPr>
        <w:t>聚力打造具有区域影响力的数据</w:t>
      </w:r>
      <w:r>
        <w:rPr>
          <w:rFonts w:ascii="仿宋_GB2312" w:hAnsi="仿宋_GB2312" w:eastAsia="仿宋_GB2312" w:cs="仿宋_GB2312"/>
          <w:color w:val="000000" w:themeColor="text1"/>
          <w:sz w:val="32"/>
          <w:szCs w:val="32"/>
          <w14:textFill>
            <w14:solidFill>
              <w14:schemeClr w14:val="tx1"/>
            </w14:solidFill>
          </w14:textFill>
        </w:rPr>
        <w:t>产业集群</w:t>
      </w:r>
      <w:r>
        <w:rPr>
          <w:rFonts w:hint="eastAsia" w:ascii="仿宋_GB2312" w:hAnsi="仿宋_GB2312" w:eastAsia="仿宋_GB2312" w:cs="仿宋_GB2312"/>
          <w:color w:val="000000" w:themeColor="text1"/>
          <w:sz w:val="32"/>
          <w:szCs w:val="32"/>
          <w14:textFill>
            <w14:solidFill>
              <w14:schemeClr w14:val="tx1"/>
            </w14:solidFill>
          </w14:textFill>
        </w:rPr>
        <w:t>。培育信创硬件制造，提升光学薄膜、滤光片、步进电机等核心元器件产能，做强光伏设备及元器件、储能设备制造，发展中高端印制电路板（PCB）等基础元器件制造业。推动数字产品销售服务渠道线下线上融合，促进智能手机、可穿戴设备、智能家电家居等电子产品生产和消费。支持信息咨询设计、软件开发与测试、信息系统集成、运维服务、信息技术培训等企业发展壮大，推动企业加快基础软件、应用软件和支撑软件的开发应用，培育小程序、快应用等新型轻量化新业态。突破数据标注产业，引进和培育一批龙头企业，畅通数据采集、标注到人工智能应用的产业链条。支持生产性、生活性服务平台和产业互联网平台发展，加快技术创新、业态创新和行业模式创新，赋能制造、旅游、商贸、物流等行业发展。创新发展短视频、微短剧、数字音乐、数字文博等体量小、迭代快、易传播的数字内容新业态</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p>
    <w:p w14:paraId="5D0DD562">
      <w:pPr>
        <w:overflowPunct w:val="0"/>
        <w:topLinePunct/>
        <w:adjustRightInd w:val="0"/>
        <w:snapToGrid w:val="0"/>
        <w:spacing w:line="560" w:lineRule="exact"/>
        <w:ind w:firstLine="643" w:firstLineChars="200"/>
        <w:rPr>
          <w:rFonts w:ascii="仿宋_GB2312" w:hAnsi="仿宋_GB2312" w:eastAsia="仿宋_GB2312" w:cs="仿宋_GB2312"/>
          <w:color w:val="000000" w:themeColor="text1"/>
          <w:sz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深入实施“人工智能+”行动。</w:t>
      </w:r>
      <w:r>
        <w:rPr>
          <w:rFonts w:hint="eastAsia" w:ascii="仿宋_GB2312" w:hAnsi="仿宋_GB2312" w:eastAsia="仿宋_GB2312" w:cs="仿宋_GB2312"/>
          <w:color w:val="000000" w:themeColor="text1"/>
          <w:sz w:val="32"/>
          <w14:textFill>
            <w14:solidFill>
              <w14:schemeClr w14:val="tx1"/>
            </w14:solidFill>
          </w14:textFill>
        </w:rPr>
        <w:t>坚持政府引导、企业主体，推动人工智能广泛应用，聚焦“人工智能+产业链”，实施市级产业链“产业大脑”建设应用试点，构建“一链一大脑”发展格局。鼓励企业开发和应用行业大模型，促进产业转型升级。强化人工智能赋能生态旅游、富硒食品、消费电子、毛绒玩具等消费品行业，推动产品需求预测和个性化定制，实现快速响应和高速交付。加快推动人工智能+医疗卫生领域应用。拓展深化人工智能在新型材料、交通装备、现代物流、智慧农业、智能驾驶、低空经济和政务服务、社会治理、智慧城市、教育医疗等领域的广泛应用，推动人工智能赋能千行百业、走进千家万户。</w:t>
      </w:r>
      <w:bookmarkEnd w:id="21"/>
      <w:bookmarkStart w:id="23" w:name="_Toc1443"/>
    </w:p>
    <w:bookmarkEnd w:id="23"/>
    <w:p w14:paraId="722C2EC9">
      <w:pPr>
        <w:pStyle w:val="5"/>
        <w:overflowPunct w:val="0"/>
        <w:topLinePunct/>
        <w:spacing w:before="312" w:after="312" w:line="554"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24" w:name="_Toc6009"/>
    </w:p>
    <w:p w14:paraId="5E9E8ED8">
      <w:pPr>
        <w:pStyle w:val="5"/>
        <w:overflowPunct w:val="0"/>
        <w:topLinePunct/>
        <w:spacing w:before="312" w:after="0" w:afterLines="0" w:line="554"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25" w:name="_Toc25463"/>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第三篇 聚力提升创新体系整体效能，因地制宜发展新质生产力</w:t>
      </w:r>
      <w:bookmarkEnd w:id="25"/>
    </w:p>
    <w:p w14:paraId="5B3E1300">
      <w:pPr>
        <w:overflowPunct w:val="0"/>
        <w:spacing w:line="554" w:lineRule="exact"/>
        <w:ind w:firstLine="640" w:firstLineChars="200"/>
        <w:rPr>
          <w:rFonts w:ascii="仿宋_GB2312" w:hAnsi="Calibri" w:eastAsia="仿宋_GB2312" w:cs="仿宋_GB2312"/>
          <w:color w:val="000000" w:themeColor="text1"/>
          <w:sz w:val="32"/>
          <w:szCs w:val="32"/>
          <w:lang w:bidi="ar"/>
          <w14:textFill>
            <w14:solidFill>
              <w14:schemeClr w14:val="tx1"/>
            </w14:solidFill>
          </w14:textFill>
        </w:rPr>
      </w:pPr>
    </w:p>
    <w:p w14:paraId="1DBF521F">
      <w:pPr>
        <w:overflowPunct w:val="0"/>
        <w:spacing w:line="554" w:lineRule="exact"/>
        <w:ind w:firstLine="640" w:firstLineChars="200"/>
        <w:rPr>
          <w:rFonts w:ascii="仿宋_GB2312" w:hAnsi="Calibri" w:eastAsia="仿宋_GB2312" w:cs="仿宋_GB2312"/>
          <w:color w:val="000000" w:themeColor="text1"/>
          <w:sz w:val="32"/>
          <w:szCs w:val="32"/>
          <w:lang w:bidi="ar"/>
          <w14:textFill>
            <w14:solidFill>
              <w14:schemeClr w14:val="tx1"/>
            </w14:solidFill>
          </w14:textFill>
        </w:rPr>
      </w:pPr>
      <w:r>
        <w:rPr>
          <w:rFonts w:hint="eastAsia" w:ascii="仿宋_GB2312" w:hAnsi="Calibri" w:eastAsia="仿宋_GB2312" w:cs="仿宋_GB2312"/>
          <w:color w:val="000000" w:themeColor="text1"/>
          <w:sz w:val="32"/>
          <w:szCs w:val="32"/>
          <w:lang w:bidi="ar"/>
          <w14:textFill>
            <w14:solidFill>
              <w14:schemeClr w14:val="tx1"/>
            </w14:solidFill>
          </w14:textFill>
        </w:rPr>
        <w:t>深入实施科教兴市、人才强市、创新驱动发展战略，构建以科技创新为引领、多领域互动、多要素联动的综合创新生态体系，强化有组织创新和高质量科技供给，促进</w:t>
      </w:r>
      <w:r>
        <w:rPr>
          <w:rFonts w:ascii="仿宋_GB2312" w:hAnsi="Calibri" w:eastAsia="仿宋_GB2312" w:cs="仿宋_GB2312"/>
          <w:color w:val="000000" w:themeColor="text1"/>
          <w:sz w:val="32"/>
          <w:szCs w:val="32"/>
          <w:lang w:bidi="ar"/>
          <w14:textFill>
            <w14:solidFill>
              <w14:schemeClr w14:val="tx1"/>
            </w14:solidFill>
          </w14:textFill>
        </w:rPr>
        <w:t>新质</w:t>
      </w:r>
      <w:r>
        <w:rPr>
          <w:rFonts w:hint="eastAsia" w:ascii="仿宋_GB2312" w:hAnsi="Calibri" w:eastAsia="仿宋_GB2312" w:cs="仿宋_GB2312"/>
          <w:color w:val="000000" w:themeColor="text1"/>
          <w:sz w:val="32"/>
          <w:szCs w:val="32"/>
          <w:lang w:bidi="ar"/>
          <w14:textFill>
            <w14:solidFill>
              <w14:schemeClr w14:val="tx1"/>
            </w14:solidFill>
          </w14:textFill>
        </w:rPr>
        <w:t>生产力培育发展成势提效。</w:t>
      </w:r>
    </w:p>
    <w:p w14:paraId="1D8692EF">
      <w:pPr>
        <w:pStyle w:val="6"/>
        <w:overflowPunct w:val="0"/>
        <w:topLinePunct/>
        <w:spacing w:before="312" w:beforeLines="100" w:after="312" w:afterLines="100" w:line="554" w:lineRule="exact"/>
        <w:rPr>
          <w:color w:val="000000" w:themeColor="text1"/>
          <w14:textFill>
            <w14:solidFill>
              <w14:schemeClr w14:val="tx1"/>
            </w14:solidFill>
          </w14:textFill>
        </w:rPr>
      </w:pPr>
      <w:bookmarkStart w:id="26" w:name="_Toc18317"/>
      <w:r>
        <w:rPr>
          <w:rFonts w:hint="eastAsia"/>
          <w:color w:val="000000" w:themeColor="text1"/>
          <w14:textFill>
            <w14:solidFill>
              <w14:schemeClr w14:val="tx1"/>
            </w14:solidFill>
          </w14:textFill>
        </w:rPr>
        <w:t>第一章 构筑高水平科技创新平台</w:t>
      </w:r>
      <w:bookmarkEnd w:id="26"/>
    </w:p>
    <w:p w14:paraId="1067B627">
      <w:pPr>
        <w:overflowPunct w:val="0"/>
        <w:topLinePunct/>
        <w:spacing w:line="554"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加强科创平台建设。</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深度融入秦创原创新驱动平台、西安区域科技创新中心、综合性科学中心，高质量建设秦创原安康科创中心、安康学院大学科技园，优化县级秦创原创新促进中心功能。统筹布局行业新型研发机构，积极与高校、科研院所共建高水平研发平台、概念验证中心和中试基地。围绕富硒食品、生物医药、新型材料、装备制造等特色产业，初步构建以全市重点产业链科技创新平台、产业研究院、工程技术中心为支撑的科创平台体系。到2030年，新建15个科创平台，创建150个创新创业示范基地。</w:t>
      </w:r>
    </w:p>
    <w:p w14:paraId="2BF66C43">
      <w:pPr>
        <w:overflowPunct w:val="0"/>
        <w:topLinePunct/>
        <w:spacing w:line="55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推进秦创原富硒产业创新聚集区建设。</w:t>
      </w:r>
      <w:r>
        <w:rPr>
          <w:rFonts w:hint="eastAsia" w:ascii="仿宋_GB2312" w:hAnsi="方正仿宋_GB2312" w:eastAsia="仿宋_GB2312" w:cs="方正仿宋_GB2312"/>
          <w:color w:val="000000" w:themeColor="text1"/>
          <w:sz w:val="32"/>
          <w:szCs w:val="32"/>
          <w14:textFill>
            <w14:solidFill>
              <w14:schemeClr w14:val="tx1"/>
            </w14:solidFill>
          </w14:textFill>
        </w:rPr>
        <w:t>以聚集区建设为统揽，搭建富硒研发平台，建强富硒产业共性技术研发、高能级科创孵化器等省级平台，全力争创陕西省硒资源开发与利用重点实验室，打造富硒食品产业技术创新联合体，强化秦创原辐射带动作用，推进富硒产业迈向价值链中高端。深化产需对接与成果转化，常态化开展科技招商、产需对接会及专项路演，推动科研院所技术优势与企业需求精准匹配，提升富硒产业发展质效。构建阶梯化富硒人才梯队，聘请省内外硒领域专家担任顾问，强化本地经营者与管理人才培育，联合秦创原创新驱动平台及高校，为富硒产业链定制化培养复合型人才。</w:t>
      </w:r>
    </w:p>
    <w:p w14:paraId="08F36858">
      <w:pPr>
        <w:overflowPunct w:val="0"/>
        <w:topLinePunct/>
        <w:spacing w:line="554" w:lineRule="exact"/>
        <w:ind w:firstLine="643" w:firstLineChars="200"/>
        <w:rPr>
          <w:color w:val="000000" w:themeColor="text1"/>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健全平台运行与协同创新生态。</w:t>
      </w:r>
      <w:r>
        <w:rPr>
          <w:rFonts w:hint="eastAsia" w:ascii="仿宋_GB2312" w:hAnsi="方正仿宋_GB2312" w:eastAsia="仿宋_GB2312" w:cs="方正仿宋_GB2312"/>
          <w:color w:val="000000" w:themeColor="text1"/>
          <w:sz w:val="32"/>
          <w:szCs w:val="32"/>
          <w14:textFill>
            <w14:solidFill>
              <w14:schemeClr w14:val="tx1"/>
            </w14:solidFill>
          </w14:textFill>
        </w:rPr>
        <w:t>推动重点科创平台探索市场化运营模式，引入市场化管理团队，提升运营效率与服务能力。建立以创新绩效、产业贡献为导向的平台动态评估与资源配置机制，实行“优胜劣汰”动态管理。打通市内各园区、高校、企业平台的数据与服务壁垒，实现科研设施共享与需求精准匹配。营造鼓励探索、宽容失败的创新文化氛围，激发各类创新主体的内在活力，将安康的科创平台体系真正建设成为区域高质量发展的核心引擎。</w:t>
      </w:r>
      <w:bookmarkStart w:id="27" w:name="_Toc12889"/>
    </w:p>
    <w:p w14:paraId="3CD9C674">
      <w:pPr>
        <w:pStyle w:val="6"/>
        <w:overflowPunct w:val="0"/>
        <w:topLinePunct/>
        <w:spacing w:before="312" w:beforeLines="100" w:after="312" w:afterLines="100" w:line="84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第二章 深化科技体制机制改革</w:t>
      </w:r>
      <w:bookmarkEnd w:id="27"/>
    </w:p>
    <w:p w14:paraId="7D47E308">
      <w:pPr>
        <w:overflowPunct w:val="0"/>
        <w:topLinePunct/>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优化创新政策环境</w:t>
      </w:r>
      <w:r>
        <w:rPr>
          <w:rFonts w:hint="eastAsia" w:ascii="仿宋_GB2312" w:hAnsi="方正仿宋_GB2312" w:eastAsia="仿宋_GB2312" w:cs="方正仿宋_GB2312"/>
          <w:color w:val="000000" w:themeColor="text1"/>
          <w:sz w:val="32"/>
          <w:szCs w:val="32"/>
          <w14:textFill>
            <w14:solidFill>
              <w14:schemeClr w14:val="tx1"/>
            </w14:solidFill>
          </w14:textFill>
        </w:rPr>
        <w:t>。</w:t>
      </w:r>
      <w:r>
        <w:rPr>
          <w:rFonts w:hint="eastAsia" w:ascii="仿宋_GB2312" w:hAnsi="方正仿宋_GB2312" w:eastAsia="仿宋_GB2312" w:cs="方正仿宋_GB2312"/>
          <w:color w:val="000000" w:themeColor="text1"/>
          <w:spacing w:val="1"/>
          <w:sz w:val="32"/>
          <w:szCs w:val="32"/>
          <w14:textFill>
            <w14:solidFill>
              <w14:schemeClr w14:val="tx1"/>
            </w14:solidFill>
          </w14:textFill>
        </w:rPr>
        <w:t>强化政策协同，打破部门壁垒，推动科技创新政策与产业规划、财税支持等政策紧密衔接、同向发力，形成系统性支撑，并建立常态化的政策评估与动态调整机制。推进“三项改革”拓面提质增效，实施科技成果转化落地行动，健全转化激励政策机制，推广“先使用后付费”“实验室+产业化公司”等转化方式，培育专业化技术转移机构，加大应用场景建设和开放力度。构建覆盖全链条科技服务体系，集成提供政策咨询、技术转移、知识产权、科技金融、检验检测等“一站式”服务。</w:t>
      </w:r>
    </w:p>
    <w:p w14:paraId="022FAF8C">
      <w:pPr>
        <w:overflowPunct w:val="0"/>
        <w:topLinePunct/>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健全市场激励创新机制。</w:t>
      </w:r>
      <w:r>
        <w:rPr>
          <w:rFonts w:hint="eastAsia" w:ascii="仿宋_GB2312" w:hAnsi="方正仿宋_GB2312" w:eastAsia="仿宋_GB2312" w:cs="方正仿宋_GB2312"/>
          <w:color w:val="000000" w:themeColor="text1"/>
          <w:sz w:val="32"/>
          <w:szCs w:val="32"/>
          <w14:textFill>
            <w14:solidFill>
              <w14:schemeClr w14:val="tx1"/>
            </w14:solidFill>
          </w14:textFill>
        </w:rPr>
        <w:t>完善创新要素由市场评价、按贡献决定报酬的制度体系，探索下放安康学院、安康职业技术学院、相关科研院所研发机构设置权、内部岗位设置权、高层次人才招聘权、职称评聘权、内部薪酬分配权、科技成果转化收益处置权，最大限度激发科研人员积极性创造性。加大科研人员绩效激励制度改革，完善科研人员兼职取薪、离岗创业、工资待遇等政策。推动高校和科研院所“去行政化”，推行“协议工资制”“项目工资制”，激发高校和科研院所创新活力。探索“事业单位法人+公司制、理事会制”的科研机构管理体制。</w:t>
      </w:r>
    </w:p>
    <w:p w14:paraId="1367AA1C">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完善科技与金融深度融合机制</w:t>
      </w:r>
      <w:r>
        <w:rPr>
          <w:rFonts w:hint="eastAsia" w:ascii="仿宋_GB2312" w:hAnsi="方正仿宋_GB2312" w:eastAsia="仿宋_GB2312" w:cs="方正仿宋_GB2312"/>
          <w:color w:val="000000" w:themeColor="text1"/>
          <w:sz w:val="32"/>
          <w:szCs w:val="32"/>
          <w14:textFill>
            <w14:solidFill>
              <w14:schemeClr w14:val="tx1"/>
            </w14:solidFill>
          </w14:textFill>
        </w:rPr>
        <w:t>。积极拓宽资金投入渠道，加大财政资金对科技的投入力度，推动创业投资机构“投早、投小、投长期、投硬科技”，引导投资机构“长线布局+短线创投”，撬动更多社会资本转为耐心资本，构建“股权投资+社会化投资+天使投资+投资基金”多元投融资体系。推动政府性融资担保机构与银行共建风险分担机制，加大风险补偿资金投入。提高产业运营发展质效，为重点产业链分别成立子基金，完善“募、投、管、退”机制，专业团队负责精细运营和投后赋能。</w:t>
      </w:r>
    </w:p>
    <w:p w14:paraId="47BB1226">
      <w:pPr>
        <w:pStyle w:val="6"/>
        <w:overflowPunct w:val="0"/>
        <w:topLinePunct/>
        <w:spacing w:before="312" w:beforeLines="100" w:after="312" w:afterLines="100" w:line="574" w:lineRule="exact"/>
        <w:rPr>
          <w:color w:val="000000" w:themeColor="text1"/>
          <w14:textFill>
            <w14:solidFill>
              <w14:schemeClr w14:val="tx1"/>
            </w14:solidFill>
          </w14:textFill>
        </w:rPr>
      </w:pPr>
      <w:bookmarkStart w:id="28" w:name="_Toc22460"/>
      <w:r>
        <w:rPr>
          <w:rFonts w:hint="eastAsia"/>
          <w:color w:val="000000" w:themeColor="text1"/>
          <w14:textFill>
            <w14:solidFill>
              <w14:schemeClr w14:val="tx1"/>
            </w14:solidFill>
          </w14:textFill>
        </w:rPr>
        <w:t>第三章 一体推进教育科技人才发展</w:t>
      </w:r>
      <w:bookmarkEnd w:id="28"/>
    </w:p>
    <w:p w14:paraId="462A8CEF">
      <w:pPr>
        <w:overflowPunct w:val="0"/>
        <w:topLinePunct/>
        <w:spacing w:line="574"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探索建立科教协同育人机制。</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纵深推进教育科技人才体制机制一体改革，统筹实施“金蓝领”培训计划，动态更新、定期发布项目建设、重点企业招才用工需求清单，健全缺工快速响应机制，支持安康学院、安康职业技术学院、</w:t>
      </w:r>
      <w:r>
        <w:rPr>
          <w:rFonts w:hint="eastAsia" w:ascii="仿宋_GB2312" w:eastAsia="仿宋_GB2312"/>
          <w:color w:val="000000" w:themeColor="text1"/>
          <w:sz w:val="32"/>
          <w:szCs w:val="32"/>
          <w14:textFill>
            <w14:solidFill>
              <w14:schemeClr w14:val="tx1"/>
            </w14:solidFill>
          </w14:textFill>
        </w:rPr>
        <w:t>市劳模工匠学院、各中等职业学校优化学科</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专业设置，开展订单、定向、定岗式教育培训，定向培养富硒产业、毛玩设计、文旅康养、生态修复等领域专业人才，力促求职用工精准对接，实施知识更新工程，建立和完善新型学徒制和首席技师制度，每年新增高技能人才1000人以上，设立乡土科技人才库，培育本地产业带头人，强化乡村振兴科技支撑。</w:t>
      </w:r>
    </w:p>
    <w:p w14:paraId="189D924A">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加快聚集优秀创新人才。</w:t>
      </w:r>
      <w:r>
        <w:rPr>
          <w:rFonts w:hint="eastAsia" w:ascii="仿宋_GB2312" w:hAnsi="方正仿宋_GB2312" w:eastAsia="仿宋_GB2312" w:cs="方正仿宋_GB2312"/>
          <w:color w:val="000000" w:themeColor="text1"/>
          <w:sz w:val="32"/>
          <w:szCs w:val="32"/>
          <w14:textFill>
            <w14:solidFill>
              <w14:schemeClr w14:val="tx1"/>
            </w14:solidFill>
          </w14:textFill>
        </w:rPr>
        <w:t>推行柔性引才制度，拓展“校招共用”“高校科创经理人”“重点产业链科技创新团队”引才用才模式，健全技术经理人服务体系和激励机制。深化人才发展体制机制改革，加强对人才的政治引领和政治吸纳，优化整合各类人才发展平台，实施“百名博士进百企”“人才助力乡村振兴”等人才工程。健全人才服务保障体系，优化青年创新创业生态，搭建“人才会客厅”等功能载体。到2030年，建设院士专家工作站20个、每年培育引进高层次人才500人、</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组建“科学家+工程师”队伍10支</w:t>
      </w:r>
      <w:r>
        <w:rPr>
          <w:rFonts w:hint="eastAsia" w:ascii="仿宋_GB2312" w:hAnsi="方正仿宋_GB2312" w:eastAsia="仿宋_GB2312" w:cs="方正仿宋_GB2312"/>
          <w:color w:val="000000" w:themeColor="text1"/>
          <w:sz w:val="32"/>
          <w:szCs w:val="32"/>
          <w14:textFill>
            <w14:solidFill>
              <w14:schemeClr w14:val="tx1"/>
            </w14:solidFill>
          </w14:textFill>
        </w:rPr>
        <w:t>。</w:t>
      </w:r>
    </w:p>
    <w:p w14:paraId="0F7982B4">
      <w:pPr>
        <w:overflowPunct w:val="0"/>
        <w:topLinePunct/>
        <w:spacing w:line="574" w:lineRule="exact"/>
        <w:ind w:firstLine="643" w:firstLineChars="200"/>
        <w:rPr>
          <w:color w:val="000000" w:themeColor="text1"/>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推动创新链产业链人才链深度融合。</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建立需求牵引的协同攻关机制，围绕富硒产品、秦巴医药、新型材料、生态旅游等特色产业，设立产业创新需求清单，组织高校、科研平台、企业组建创新联合体，开展定向研发和技术迭代，将人才培养和科研活动深度嵌入产业实践。围绕主导和特色产业，开展各类劳动和技能竞赛，提升产业技术水平与职工技能。强化秦创原安康平台等载体的中试熟化、技术交易和企业孵化功能，完善“发现-评价-培育-转化”服务体系。</w:t>
      </w:r>
    </w:p>
    <w:p w14:paraId="3F2447C5">
      <w:pPr>
        <w:pStyle w:val="6"/>
        <w:overflowPunct w:val="0"/>
        <w:topLinePunct/>
        <w:spacing w:before="468" w:beforeLines="150" w:after="312" w:afterLines="100" w:line="574" w:lineRule="exact"/>
        <w:rPr>
          <w:rFonts w:ascii="楷体_GB2312" w:hAnsi="楷体_GB2312" w:eastAsia="楷体_GB2312" w:cs="楷体_GB2312"/>
          <w:b/>
          <w:bCs/>
          <w:snapToGrid w:val="0"/>
          <w:color w:val="000000" w:themeColor="text1"/>
          <w:kern w:val="0"/>
          <w14:textFill>
            <w14:solidFill>
              <w14:schemeClr w14:val="tx1"/>
            </w14:solidFill>
          </w14:textFill>
        </w:rPr>
      </w:pPr>
      <w:bookmarkStart w:id="29" w:name="_Toc30065"/>
      <w:r>
        <w:rPr>
          <w:rFonts w:hint="eastAsia"/>
          <w:color w:val="000000" w:themeColor="text1"/>
          <w14:textFill>
            <w14:solidFill>
              <w14:schemeClr w14:val="tx1"/>
            </w14:solidFill>
          </w14:textFill>
        </w:rPr>
        <w:t>第四章 持续提升产业创新能力</w:t>
      </w:r>
      <w:bookmarkEnd w:id="29"/>
    </w:p>
    <w:p w14:paraId="4DEA16C2">
      <w:pPr>
        <w:overflowPunct w:val="0"/>
        <w:topLinePunct/>
        <w:adjustRightInd w:val="0"/>
        <w:snapToGrid w:val="0"/>
        <w:spacing w:line="574"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扩大科技创新主体规模。</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 xml:space="preserve">强化企业创新主体地位，全面提升企业创新能力，纵深推进“落地、登高、升规、晋位、上市”五大工程，加快培育创新型中小企业、省级“专精特新”中小企业和专精特新“小巨人”企业，建立“科技型中小企业-高新技术企业-瞪羚企业-上市公司（独角兽企业）”梯队，支持科技型企业快速发展。培育装备制造、新型材料、生物医药等发展基础较好的绿色制造主体，聚力攻克智能制造、生物提取、储能产品等关键技术研究和应用示范。到2030年，全市科技型中小企业、高新技术企业数量分别达到1400家、650家。  </w:t>
      </w:r>
    </w:p>
    <w:p w14:paraId="52188B24">
      <w:pPr>
        <w:overflowPunct w:val="0"/>
        <w:topLinePunct/>
        <w:adjustRightInd w:val="0"/>
        <w:snapToGrid w:val="0"/>
        <w:spacing w:line="574"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提升产业创新能力。</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建立“产业立题、企业出题、产学研解题”协同创新模式，优化“重点产业链科技创新团队”等机制，持续提升产业基础创新、产业链上下游协同创新能力。</w:t>
      </w:r>
      <w:r>
        <w:rPr>
          <w:rFonts w:hint="eastAsia" w:ascii="仿宋_GB2312" w:hAnsi="仿宋_GB2312" w:eastAsia="仿宋_GB2312" w:cs="仿宋_GB2312"/>
          <w:color w:val="000000" w:themeColor="text1"/>
          <w:sz w:val="32"/>
          <w:szCs w:val="32"/>
          <w14:textFill>
            <w14:solidFill>
              <w14:schemeClr w14:val="tx1"/>
            </w14:solidFill>
          </w14:textFill>
        </w:rPr>
        <w:t>支持企业加快信息化和工业化融合、数字化改造、智能化转型升级及绿色工厂建设，推广新产品、新工艺、新设备、新产线、新标准，推进工业互联网标识解析节点、智能工厂、数字化车间建设，通过改造升级引领传统产业高端化、智能化、绿色化发展。拓宽技术转移通道，完善技术转移服务体系，畅通人才、技术、资金等要素流转通道。</w:t>
      </w:r>
    </w:p>
    <w:p w14:paraId="248470AA">
      <w:pPr>
        <w:overflowPunct w:val="0"/>
        <w:topLinePunct/>
        <w:adjustRightInd w:val="0"/>
        <w:snapToGrid w:val="0"/>
        <w:spacing w:line="574"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强化区域创新合作。</w:t>
      </w:r>
      <w:r>
        <w:rPr>
          <w:rFonts w:hint="eastAsia" w:ascii="仿宋_GB2312" w:hAnsi="仿宋_GB2312" w:eastAsia="仿宋_GB2312" w:cs="仿宋_GB2312"/>
          <w:color w:val="000000" w:themeColor="text1"/>
          <w:sz w:val="32"/>
          <w:szCs w:val="32"/>
          <w14:textFill>
            <w14:solidFill>
              <w14:schemeClr w14:val="tx1"/>
            </w14:solidFill>
          </w14:textFill>
        </w:rPr>
        <w:t>深化“飞地平台”合作，持续建好用好安康在西安等地的“创新飞地”，支持安康高新区建设“飞地经济”园区，将前端研发、招才引智功能与安康本地平台的中试转化、产业化功能深度捆绑，形成“研发在外地、转化在安康、市场在周边”的产业协作新模式。主动对接关中平原城市群、长江经济带等区域科创资源，推动安康平台与域外高校、科研院所、龙头企业建立稳定合作关系，共建联合实验室或创新联盟，借智借力提升能级，</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积极承接产业转移和科技成果转化，提升自主创新能力。</w:t>
      </w:r>
    </w:p>
    <w:p w14:paraId="0D1EDEEE">
      <w:pPr>
        <w:overflowPunct w:val="0"/>
        <w:topLinePunct/>
        <w:adjustRightInd w:val="0"/>
        <w:snapToGrid w:val="0"/>
        <w:spacing w:line="560" w:lineRule="exact"/>
        <w:rPr>
          <w:rFonts w:ascii="仿宋_GB2312" w:hAnsi="方正仿宋_GB2312" w:eastAsia="仿宋_GB2312" w:cs="方正仿宋_GB2312"/>
          <w:snapToGrid w:val="0"/>
          <w:color w:val="000000" w:themeColor="text1"/>
          <w:kern w:val="0"/>
          <w:sz w:val="32"/>
          <w:szCs w:val="32"/>
          <w14:textFill>
            <w14:solidFill>
              <w14:schemeClr w14:val="tx1"/>
            </w14:solidFill>
          </w14:textFill>
        </w:rPr>
      </w:pP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B5E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77C90D42">
            <w:pPr>
              <w:pStyle w:val="31"/>
              <w:overflowPunct w:val="0"/>
              <w:topLinePunct/>
              <w:spacing w:after="0" w:line="400" w:lineRule="exact"/>
              <w:ind w:firstLine="0" w:firstLineChars="0"/>
              <w:jc w:val="center"/>
              <w:rPr>
                <w:rFonts w:ascii="Times New Roman" w:hAnsi="Times New Roman" w:eastAsia="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专栏5  现代化产业园区建设工程</w:t>
            </w:r>
          </w:p>
        </w:tc>
      </w:tr>
      <w:tr w14:paraId="6033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FE9F4A2">
            <w:pPr>
              <w:pStyle w:val="53"/>
              <w:overflowPunct w:val="0"/>
              <w:topLinePunct/>
              <w:spacing w:line="400" w:lineRule="exact"/>
              <w:ind w:left="0" w:firstLine="480" w:firstLineChars="200"/>
              <w:rPr>
                <w:rFonts w:ascii="Times New Roman" w:hAnsi="Times New Roman" w:eastAsia="楷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（一）安康国家高新区。</w:t>
            </w:r>
            <w:r>
              <w:rPr>
                <w:rFonts w:hint="eastAsia" w:ascii="Times New Roman" w:hAnsi="Times New Roman" w:eastAsia="宋体" w:cs="Times New Roman"/>
                <w:color w:val="000000" w:themeColor="text1"/>
                <w:sz w:val="24"/>
                <w:szCs w:val="24"/>
                <w14:textFill>
                  <w14:solidFill>
                    <w14:schemeClr w14:val="tx1"/>
                  </w14:solidFill>
                </w14:textFill>
              </w:rPr>
              <w:t>巩固安康国家高新区新型材料、数字经济、食药康健三大主导产业，深化技术研发与成果转化，打造国内知名的特色产业高地；壮大先进制造、现代服务两个成长性产业集群，推进智能化改造与业态创新；引育顶尖创新团队，前瞻布局6G、大数据、节能环保与信息技术服务等新经济产业集群，建设数字经济创新中心、绿色技术应用平台，搭建产业融合发展新载体。</w:t>
            </w:r>
          </w:p>
          <w:p w14:paraId="784E049E">
            <w:pPr>
              <w:overflowPunct w:val="0"/>
              <w:topLinePunct/>
              <w:spacing w:line="40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（二）省级高新区。</w:t>
            </w:r>
            <w:r>
              <w:rPr>
                <w:rFonts w:hint="eastAsia" w:ascii="宋体" w:hAnsi="宋体" w:eastAsia="宋体" w:cs="Times New Roman"/>
                <w:color w:val="000000" w:themeColor="text1"/>
                <w:sz w:val="24"/>
                <w:szCs w:val="24"/>
                <w14:textFill>
                  <w14:solidFill>
                    <w14:schemeClr w14:val="tx1"/>
                  </w14:solidFill>
                </w14:textFill>
              </w:rPr>
              <w:t>重点推进旬阳高新区新材料特色专业化产业园区建设，建设新型材料研发生产销售项目，</w:t>
            </w:r>
            <w:r>
              <w:rPr>
                <w:rFonts w:ascii="宋体" w:hAnsi="宋体" w:eastAsia="宋体" w:cs="Times New Roman"/>
                <w:color w:val="000000" w:themeColor="text1"/>
                <w:sz w:val="24"/>
                <w:szCs w:val="24"/>
                <w14:textFill>
                  <w14:solidFill>
                    <w14:schemeClr w14:val="tx1"/>
                  </w14:solidFill>
                </w14:textFill>
              </w:rPr>
              <w:t>打造标准化生产线与研发中心</w:t>
            </w:r>
            <w:r>
              <w:rPr>
                <w:rFonts w:hint="eastAsia" w:ascii="宋体" w:hAnsi="宋体"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建设吕河工业集中区配套基础设施</w:t>
            </w:r>
            <w:r>
              <w:rPr>
                <w:rFonts w:ascii="Times New Roman" w:hAnsi="Times New Roman" w:eastAsia="宋体" w:cs="Times New Roman"/>
                <w:color w:val="000000" w:themeColor="text1"/>
                <w:sz w:val="24"/>
                <w:szCs w:val="24"/>
                <w14:textFill>
                  <w14:solidFill>
                    <w14:schemeClr w14:val="tx1"/>
                  </w14:solidFill>
                </w14:textFill>
              </w:rPr>
              <w:t>。</w:t>
            </w:r>
            <w:r>
              <w:rPr>
                <w:rFonts w:hint="eastAsia" w:ascii="宋体" w:hAnsi="宋体" w:eastAsia="宋体" w:cs="Times New Roman"/>
                <w:color w:val="000000" w:themeColor="text1"/>
                <w:sz w:val="24"/>
                <w:szCs w:val="24"/>
                <w14:textFill>
                  <w14:solidFill>
                    <w14:schemeClr w14:val="tx1"/>
                  </w14:solidFill>
                </w14:textFill>
              </w:rPr>
              <w:t>支持紫阳高新区重点发展富硒绿色食品、秦巴特色医药、绿色环保材料等主导产业，加快推进生态产业化、产业生态化，积极探索国家主体功能区“绿水青山就是金山银山”实践创新示范新模式。</w:t>
            </w:r>
          </w:p>
          <w:p w14:paraId="718A669B">
            <w:pPr>
              <w:overflowPunct w:val="0"/>
              <w:topLinePunct/>
              <w:spacing w:line="40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（三）省级经开区。</w:t>
            </w:r>
            <w:r>
              <w:rPr>
                <w:rFonts w:hint="eastAsia" w:ascii="宋体" w:hAnsi="宋体" w:eastAsia="宋体" w:cs="Times New Roman"/>
                <w:color w:val="000000" w:themeColor="text1"/>
                <w:sz w:val="24"/>
                <w:szCs w:val="24"/>
                <w14:textFill>
                  <w14:solidFill>
                    <w14:schemeClr w14:val="tx1"/>
                  </w14:solidFill>
                </w14:textFill>
              </w:rPr>
              <w:t>推进汉阴经开区园区更新项目、秦创原创业孵化园项目建设；支持石泉经开区重点发展富硒食品饮品、桑蚕、生物医药、装备制造等产业，争创国家级经济技术开发区；支持平利经开区重点发展生命健康产业和新型材料产业。</w:t>
            </w:r>
            <w:r>
              <w:rPr>
                <w:rFonts w:hint="eastAsia" w:ascii="Times New Roman" w:hAnsi="Times New Roman" w:eastAsia="宋体" w:cs="Times New Roman"/>
                <w:color w:val="000000" w:themeColor="text1"/>
                <w:sz w:val="24"/>
                <w:szCs w:val="24"/>
                <w14:textFill>
                  <w14:solidFill>
                    <w14:schemeClr w14:val="tx1"/>
                  </w14:solidFill>
                </w14:textFill>
              </w:rPr>
              <w:t>加快推动汉滨区现代纺织生态科技产业园（一期）基础设施、石英制品新材料产业园、再生资源产业园、大豆提取异黄酮药材加工基地建设</w:t>
            </w:r>
            <w:r>
              <w:rPr>
                <w:rFonts w:ascii="Times New Roman" w:hAnsi="Times New Roman" w:eastAsia="宋体" w:cs="Times New Roman"/>
                <w:color w:val="000000" w:themeColor="text1"/>
                <w:sz w:val="24"/>
                <w:szCs w:val="24"/>
                <w14:textFill>
                  <w14:solidFill>
                    <w14:schemeClr w14:val="tx1"/>
                  </w14:solidFill>
                </w14:textFill>
              </w:rPr>
              <w:t>。</w:t>
            </w:r>
          </w:p>
          <w:p w14:paraId="779D7BF5">
            <w:pPr>
              <w:overflowPunct w:val="0"/>
              <w:topLinePunct/>
              <w:spacing w:line="400" w:lineRule="exact"/>
              <w:ind w:firstLine="480" w:firstLineChars="200"/>
              <w:rPr>
                <w:rFonts w:eastAsia="宋体"/>
                <w:color w:val="000000" w:themeColor="text1"/>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（四）省级工业园区。</w:t>
            </w:r>
            <w:r>
              <w:rPr>
                <w:rFonts w:hint="eastAsia" w:ascii="Times New Roman" w:hAnsi="Times New Roman" w:eastAsia="宋体" w:cs="Times New Roman"/>
                <w:color w:val="000000" w:themeColor="text1"/>
                <w:sz w:val="24"/>
                <w:szCs w:val="24"/>
                <w14:textFill>
                  <w14:solidFill>
                    <w14:schemeClr w14:val="tx1"/>
                  </w14:solidFill>
                </w14:textFill>
              </w:rPr>
              <w:t>推动岚皋工业园区、白河工业园区创建省级开发区。推进岚皋“芋、渔、水”富硒产业集群建设，支持无线通信设备、智能穿戴、新型电子元器件等消费电子产业链条升级。推动白河以黄姜为原料形成特色循环经济产业集群，光伏组件、新型石材等产业扩大规模、提质增效。</w:t>
            </w:r>
          </w:p>
        </w:tc>
      </w:tr>
      <w:bookmarkEnd w:id="24"/>
    </w:tbl>
    <w:p w14:paraId="0CEE8DCB">
      <w:pPr>
        <w:pStyle w:val="5"/>
        <w:overflowPunct w:val="0"/>
        <w:topLinePunct/>
        <w:spacing w:before="312" w:after="312"/>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30" w:name="_Toc12353"/>
      <w:bookmarkStart w:id="31" w:name="_Toc11127"/>
    </w:p>
    <w:p w14:paraId="582C4C0C">
      <w:pPr>
        <w:pStyle w:val="5"/>
        <w:overflowPunct w:val="0"/>
        <w:topLinePunct/>
        <w:spacing w:before="312" w:after="0" w:afterLines="0"/>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32" w:name="_Toc29991"/>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第四篇 着力激发内需潜力，积极融入和服务</w:t>
      </w:r>
    </w:p>
    <w:p w14:paraId="0D8136A4">
      <w:pPr>
        <w:spacing w:after="312" w:afterLines="100"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新发展格局</w:t>
      </w:r>
      <w:bookmarkEnd w:id="32"/>
    </w:p>
    <w:p w14:paraId="5FF7CEA7">
      <w:pPr>
        <w:overflowPunct w:val="0"/>
        <w:topLinePunct/>
        <w:spacing w:line="560" w:lineRule="exact"/>
        <w:ind w:firstLine="640"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color w:val="000000" w:themeColor="text1"/>
          <w:sz w:val="32"/>
          <w:szCs w:val="32"/>
          <w14:textFill>
            <w14:solidFill>
              <w14:schemeClr w14:val="tx1"/>
            </w14:solidFill>
          </w14:textFill>
        </w:rPr>
        <w:t>坚持扩大内需这个战略基点，坚持惠民生与促消费、投资于物与投资于人紧密结合，推动消费升级与有效投资良性互动，增强聚力建设幸福安康内生动力。</w:t>
      </w:r>
    </w:p>
    <w:p w14:paraId="7E526E11">
      <w:pPr>
        <w:pStyle w:val="6"/>
        <w:overflowPunct w:val="0"/>
        <w:topLinePunct/>
        <w:spacing w:before="312" w:beforeLines="100" w:after="312" w:afterLines="100"/>
        <w:rPr>
          <w:color w:val="000000" w:themeColor="text1"/>
          <w14:textFill>
            <w14:solidFill>
              <w14:schemeClr w14:val="tx1"/>
            </w14:solidFill>
          </w14:textFill>
        </w:rPr>
      </w:pPr>
      <w:bookmarkStart w:id="33" w:name="_Toc9266"/>
      <w:r>
        <w:rPr>
          <w:rFonts w:hint="eastAsia"/>
          <w:color w:val="000000" w:themeColor="text1"/>
          <w14:textFill>
            <w14:solidFill>
              <w14:schemeClr w14:val="tx1"/>
            </w14:solidFill>
          </w14:textFill>
        </w:rPr>
        <w:t>第一章 促进消费提质增效</w:t>
      </w:r>
      <w:bookmarkEnd w:id="33"/>
    </w:p>
    <w:p w14:paraId="034729EF">
      <w:pPr>
        <w:overflowPunct w:val="0"/>
        <w:topLinePunct/>
        <w:spacing w:line="560" w:lineRule="exact"/>
        <w:ind w:firstLine="643" w:firstLineChars="200"/>
        <w:rPr>
          <w:rFonts w:ascii="楷体_GB2312" w:hAnsi="楷体_GB2312" w:eastAsia="仿宋_GB2312" w:cs="楷体_GB2312"/>
          <w:b/>
          <w:bCs/>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提升商品和服务消费质量。</w:t>
      </w:r>
      <w:r>
        <w:rPr>
          <w:rFonts w:hint="eastAsia" w:ascii="仿宋_GB2312" w:hAnsi="方正仿宋_GB2312" w:eastAsia="仿宋_GB2312" w:cs="方正仿宋_GB2312"/>
          <w:color w:val="000000" w:themeColor="text1"/>
          <w:sz w:val="32"/>
          <w:szCs w:val="32"/>
          <w14:textFill>
            <w14:solidFill>
              <w14:schemeClr w14:val="tx1"/>
            </w14:solidFill>
          </w14:textFill>
        </w:rPr>
        <w:t>推动汽车、家电、家装等大宗耐用消费品绿色化、智能化升级。深入实施提振消费专项行动，积极发展纺织、富硒、医药、医疗器械和特色食品等消费品，促进消费品增品种、提品质、创品牌。推动住房消费健康发展，带动家具、家装等消费。延伸汽车消费链条，拓展汽车改装、租赁、赛事及房车露营等汽车后市场消费。大力培育消费产业、领军企业、本土品牌和优质产品，创新老字号品牌建设，推动老字号品牌焕发新活力。持续</w:t>
      </w:r>
      <w:r>
        <w:rPr>
          <w:rFonts w:ascii="仿宋_GB2312" w:hAnsi="方正仿宋_GB2312" w:eastAsia="仿宋_GB2312" w:cs="方正仿宋_GB2312"/>
          <w:color w:val="000000" w:themeColor="text1"/>
          <w:sz w:val="32"/>
          <w:szCs w:val="32"/>
          <w14:textFill>
            <w14:solidFill>
              <w14:schemeClr w14:val="tx1"/>
            </w14:solidFill>
          </w14:textFill>
        </w:rPr>
        <w:t>优化财政支出结构，提高公共服务支出的财政比重，增强居民消费能力</w:t>
      </w:r>
      <w:r>
        <w:rPr>
          <w:rFonts w:hint="eastAsia" w:ascii="仿宋_GB2312" w:hAnsi="方正仿宋_GB2312" w:eastAsia="仿宋_GB2312" w:cs="方正仿宋_GB2312"/>
          <w:color w:val="000000" w:themeColor="text1"/>
          <w:sz w:val="32"/>
          <w:szCs w:val="32"/>
          <w14:textFill>
            <w14:solidFill>
              <w14:schemeClr w14:val="tx1"/>
            </w14:solidFill>
          </w14:textFill>
        </w:rPr>
        <w:t>。探索放宽文化、信息等服务消费领域市场准入，培育服务消费品牌，打造服务消费热点，激发服务消费新增量</w:t>
      </w:r>
      <w:r>
        <w:rPr>
          <w:rFonts w:ascii="仿宋_GB2312" w:hAnsi="方正仿宋_GB2312" w:eastAsia="仿宋_GB2312" w:cs="方正仿宋_GB2312"/>
          <w:color w:val="000000" w:themeColor="text1"/>
          <w:sz w:val="32"/>
          <w:szCs w:val="32"/>
          <w14:textFill>
            <w14:solidFill>
              <w14:schemeClr w14:val="tx1"/>
            </w14:solidFill>
          </w14:textFill>
        </w:rPr>
        <w:t>。</w:t>
      </w:r>
      <w:r>
        <w:rPr>
          <w:rFonts w:hint="eastAsia" w:ascii="仿宋_GB2312" w:hAnsi="方正仿宋_GB2312" w:eastAsia="仿宋_GB2312" w:cs="方正仿宋_GB2312"/>
          <w:color w:val="000000" w:themeColor="text1"/>
          <w:sz w:val="32"/>
          <w:szCs w:val="32"/>
          <w14:textFill>
            <w14:solidFill>
              <w14:schemeClr w14:val="tx1"/>
            </w14:solidFill>
          </w14:textFill>
        </w:rPr>
        <w:t>社会消费品零售总额年均增长6%。</w:t>
      </w:r>
    </w:p>
    <w:p w14:paraId="05FC9804">
      <w:pPr>
        <w:overflowPunct w:val="0"/>
        <w:topLinePunct/>
        <w:spacing w:line="560" w:lineRule="exact"/>
        <w:ind w:firstLine="643" w:firstLineChars="200"/>
        <w:rPr>
          <w:rFonts w:ascii="仿宋_GB2312" w:hAnsi="方正仿宋_GB2312" w:eastAsia="仿宋_GB2312" w:cs="方正仿宋_GB2312"/>
          <w:color w:val="000000" w:themeColor="text1"/>
          <w:spacing w:val="-5"/>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加快培育新型消费场景。</w:t>
      </w:r>
      <w:r>
        <w:rPr>
          <w:rFonts w:hint="eastAsia" w:ascii="仿宋_GB2312" w:hAnsi="方正仿宋_GB2312" w:eastAsia="仿宋_GB2312" w:cs="方正仿宋_GB2312"/>
          <w:color w:val="000000" w:themeColor="text1"/>
          <w:spacing w:val="-3"/>
          <w:sz w:val="32"/>
          <w:szCs w:val="32"/>
          <w14:textFill>
            <w14:solidFill>
              <w14:schemeClr w14:val="tx1"/>
            </w14:solidFill>
          </w14:textFill>
        </w:rPr>
        <w:t>加快发展数字智慧消费新场景，深入实施数字消费提升行动，促进“人工智能+”消费提质，激发多元智能消费新需求。依托富硒、生态、康养资源，积极培育“生态+”“康养+”“文化+”“体育+”等消费新场景，支持发展新型消费。大力发展首发经济、银发经济、冰雪经济、赛事经济，鼓励发展潮玩经济、网红经济、夜间经济、谷子经济等消费新场景，开辟高成长性消费新赛道。积极打造场景式、品质化、</w:t>
      </w:r>
      <w:r>
        <w:rPr>
          <w:rFonts w:hint="eastAsia" w:ascii="仿宋_GB2312" w:hAnsi="方正仿宋_GB2312" w:eastAsia="仿宋_GB2312" w:cs="方正仿宋_GB2312"/>
          <w:color w:val="000000" w:themeColor="text1"/>
          <w:spacing w:val="-5"/>
          <w:sz w:val="32"/>
          <w:szCs w:val="32"/>
          <w14:textFill>
            <w14:solidFill>
              <w14:schemeClr w14:val="tx1"/>
            </w14:solidFill>
          </w14:textFill>
        </w:rPr>
        <w:t>时尚潮流特色商圈，着力培育一批高品位步行街、特色商业街，构建布局合理的消费空间，释放消费潜能。积极推广绿色消费理念，加强绿色产品认证与标识体系建设，完善促进绿色消费的政策体系。</w:t>
      </w:r>
    </w:p>
    <w:p w14:paraId="1688A540">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持续优化消费环境。</w:t>
      </w:r>
      <w:r>
        <w:rPr>
          <w:rFonts w:ascii="仿宋_GB2312" w:hAnsi="方正仿宋_GB2312" w:eastAsia="仿宋_GB2312" w:cs="方正仿宋_GB2312"/>
          <w:color w:val="000000" w:themeColor="text1"/>
          <w:sz w:val="32"/>
          <w:szCs w:val="32"/>
          <w14:textFill>
            <w14:solidFill>
              <w14:schemeClr w14:val="tx1"/>
            </w14:solidFill>
          </w14:textFill>
        </w:rPr>
        <w:t>完善消费促进政策体系，实施提振消费专项行动。落实带薪错峰休假制度</w:t>
      </w:r>
      <w:r>
        <w:rPr>
          <w:rFonts w:hint="eastAsia" w:ascii="仿宋_GB2312" w:hAnsi="方正仿宋_GB2312" w:eastAsia="仿宋_GB2312" w:cs="方正仿宋_GB2312"/>
          <w:color w:val="000000" w:themeColor="text1"/>
          <w:sz w:val="32"/>
          <w:szCs w:val="32"/>
          <w14:textFill>
            <w14:solidFill>
              <w14:schemeClr w14:val="tx1"/>
            </w14:solidFill>
          </w14:textFill>
        </w:rPr>
        <w:t>，扩大节假日及黄金周消费</w:t>
      </w:r>
      <w:r>
        <w:rPr>
          <w:rFonts w:ascii="仿宋_GB2312" w:hAnsi="方正仿宋_GB2312" w:eastAsia="仿宋_GB2312" w:cs="方正仿宋_GB2312"/>
          <w:color w:val="000000" w:themeColor="text1"/>
          <w:sz w:val="32"/>
          <w:szCs w:val="32"/>
          <w14:textFill>
            <w14:solidFill>
              <w14:schemeClr w14:val="tx1"/>
            </w14:solidFill>
          </w14:textFill>
        </w:rPr>
        <w:t>。</w:t>
      </w:r>
      <w:r>
        <w:rPr>
          <w:rFonts w:hint="eastAsia" w:ascii="仿宋_GB2312" w:hAnsi="方正仿宋_GB2312" w:eastAsia="仿宋_GB2312" w:cs="方正仿宋_GB2312"/>
          <w:color w:val="000000" w:themeColor="text1"/>
          <w:sz w:val="32"/>
          <w:szCs w:val="32"/>
          <w14:textFill>
            <w14:solidFill>
              <w14:schemeClr w14:val="tx1"/>
            </w14:solidFill>
          </w14:textFill>
        </w:rPr>
        <w:t>持续保障市场供应稳定，加强产品质量安全监管，严厉打击侵犯知识产权、制售假冒伪劣商品和商业欺诈行为，规范网络销售、直播带货领域“全网最低价”等不合理经营行为，营造安全放心的消费市场环境。健全线上线下一体化监管机制，逐步建立企业自治、行业自律、社会监督和政府监管相结合的消费监管机制。持续</w:t>
      </w:r>
      <w:r>
        <w:rPr>
          <w:rFonts w:ascii="仿宋_GB2312" w:hAnsi="方正仿宋_GB2312" w:eastAsia="仿宋_GB2312" w:cs="方正仿宋_GB2312"/>
          <w:color w:val="000000" w:themeColor="text1"/>
          <w:sz w:val="32"/>
          <w:szCs w:val="32"/>
          <w14:textFill>
            <w14:solidFill>
              <w14:schemeClr w14:val="tx1"/>
            </w14:solidFill>
          </w14:textFill>
        </w:rPr>
        <w:t>强化消费者权益保护，畅通消费者维权通道</w:t>
      </w:r>
      <w:r>
        <w:rPr>
          <w:rFonts w:hint="eastAsia" w:ascii="仿宋_GB2312" w:hAnsi="方正仿宋_GB2312" w:eastAsia="仿宋_GB2312" w:cs="方正仿宋_GB2312"/>
          <w:color w:val="000000" w:themeColor="text1"/>
          <w:sz w:val="32"/>
          <w:szCs w:val="32"/>
          <w14:textFill>
            <w14:solidFill>
              <w14:schemeClr w14:val="tx1"/>
            </w14:solidFill>
          </w14:textFill>
        </w:rPr>
        <w:t>，</w:t>
      </w:r>
      <w:r>
        <w:rPr>
          <w:rFonts w:ascii="仿宋_GB2312" w:hAnsi="方正仿宋_GB2312" w:eastAsia="仿宋_GB2312" w:cs="方正仿宋_GB2312"/>
          <w:color w:val="000000" w:themeColor="text1"/>
          <w:sz w:val="32"/>
          <w:szCs w:val="32"/>
          <w14:textFill>
            <w14:solidFill>
              <w14:schemeClr w14:val="tx1"/>
            </w14:solidFill>
          </w14:textFill>
        </w:rPr>
        <w:t>创优“放心消费在安康”品牌。</w:t>
      </w:r>
      <w:r>
        <w:rPr>
          <w:rFonts w:hint="eastAsia" w:ascii="仿宋_GB2312" w:hAnsi="方正仿宋_GB2312" w:eastAsia="仿宋_GB2312" w:cs="方正仿宋_GB2312"/>
          <w:color w:val="000000" w:themeColor="text1"/>
          <w:sz w:val="32"/>
          <w:szCs w:val="32"/>
          <w14:textFill>
            <w14:solidFill>
              <w14:schemeClr w14:val="tx1"/>
            </w14:solidFill>
          </w14:textFill>
        </w:rPr>
        <w:t>巩固提升县域商业建设行动县成果，</w:t>
      </w:r>
      <w:r>
        <w:rPr>
          <w:rFonts w:ascii="仿宋_GB2312" w:hAnsi="方正仿宋_GB2312" w:eastAsia="仿宋_GB2312" w:cs="方正仿宋_GB2312"/>
          <w:color w:val="000000" w:themeColor="text1"/>
          <w:sz w:val="32"/>
          <w:szCs w:val="32"/>
          <w14:textFill>
            <w14:solidFill>
              <w14:schemeClr w14:val="tx1"/>
            </w14:solidFill>
          </w14:textFill>
        </w:rPr>
        <w:t>改善城乡消费物流基础设施条件，促进消费新业态向农村市场拓展</w:t>
      </w:r>
      <w:r>
        <w:rPr>
          <w:rFonts w:hint="eastAsia" w:ascii="仿宋_GB2312" w:hAnsi="方正仿宋_GB2312" w:eastAsia="仿宋_GB2312" w:cs="方正仿宋_GB2312"/>
          <w:color w:val="000000" w:themeColor="text1"/>
          <w:sz w:val="32"/>
          <w:szCs w:val="32"/>
          <w14:textFill>
            <w14:solidFill>
              <w14:schemeClr w14:val="tx1"/>
            </w14:solidFill>
          </w14:textFill>
        </w:rPr>
        <w:t>。</w:t>
      </w:r>
    </w:p>
    <w:tbl>
      <w:tblPr>
        <w:tblStyle w:val="34"/>
        <w:tblpPr w:leftFromText="180" w:rightFromText="180" w:vertAnchor="text" w:horzAnchor="page" w:tblpX="1605" w:tblpY="60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2F6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vAlign w:val="center"/>
          </w:tcPr>
          <w:p w14:paraId="5BE76981">
            <w:pPr>
              <w:overflowPunct w:val="0"/>
              <w:topLinePunct/>
              <w:spacing w:line="400" w:lineRule="exact"/>
              <w:jc w:val="center"/>
              <w:rPr>
                <w:rFonts w:ascii="Times New Roman" w:hAnsi="Times New Roman" w:eastAsia="方正仿宋_GB2312" w:cs="Times New Roman"/>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专栏6  消费场景培育工程</w:t>
            </w:r>
          </w:p>
        </w:tc>
      </w:tr>
      <w:tr w14:paraId="165C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14:paraId="26E50DC1">
            <w:pPr>
              <w:overflowPunct w:val="0"/>
              <w:topLinePunct/>
              <w:adjustRightInd w:val="0"/>
              <w:snapToGrid w:val="0"/>
              <w:spacing w:line="40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（一）培育购物消费。</w:t>
            </w:r>
            <w:r>
              <w:rPr>
                <w:rFonts w:hint="eastAsia" w:ascii="宋体" w:hAnsi="宋体" w:eastAsia="宋体" w:cs="宋体"/>
                <w:color w:val="000000" w:themeColor="text1"/>
                <w:sz w:val="24"/>
                <w:szCs w:val="24"/>
                <w14:textFill>
                  <w14:solidFill>
                    <w14:schemeClr w14:val="tx1"/>
                  </w14:solidFill>
                </w14:textFill>
              </w:rPr>
              <w:t>开展家电下乡促消费活动，打造“游购乡村”系列活动品牌，改造提升10家骨干农产品批发市场，20个乡镇商贸中心，加快推进30个农产品流通网络基础设施项目建设。</w:t>
            </w:r>
          </w:p>
          <w:p w14:paraId="61CB4F7D">
            <w:pPr>
              <w:overflowPunct w:val="0"/>
              <w:topLinePunct/>
              <w:adjustRightInd w:val="0"/>
              <w:snapToGrid w:val="0"/>
              <w:spacing w:line="40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（二）培育餐饮消费。</w:t>
            </w:r>
            <w:r>
              <w:rPr>
                <w:rFonts w:hint="eastAsia" w:ascii="宋体" w:hAnsi="宋体" w:eastAsia="宋体" w:cs="宋体"/>
                <w:color w:val="000000" w:themeColor="text1"/>
                <w:sz w:val="24"/>
                <w:szCs w:val="24"/>
                <w14:textFill>
                  <w14:solidFill>
                    <w14:schemeClr w14:val="tx1"/>
                  </w14:solidFill>
                </w14:textFill>
              </w:rPr>
              <w:t>做强莲花餐饮、金州美食等老品牌，积极培育一批新品牌。围绕夜食、夜购、夜宿、夜娱等主题特色，鼓励和引导行业协会、经营主体举办“醉美·夜安康”等主题消费促进活动，繁荣夜间经济。支持建设“深夜食堂”特色餐饮街区，打造一批特色鲜明、业态多元、亮丽美观的夜经济生活聚集区。</w:t>
            </w:r>
          </w:p>
          <w:p w14:paraId="2FCD2BC2">
            <w:pPr>
              <w:overflowPunct w:val="0"/>
              <w:topLinePunct/>
              <w:adjustRightInd w:val="0"/>
              <w:snapToGrid w:val="0"/>
              <w:spacing w:line="40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（三）培育文旅体育消费。</w:t>
            </w:r>
            <w:r>
              <w:rPr>
                <w:rFonts w:hint="eastAsia" w:ascii="宋体" w:hAnsi="宋体" w:eastAsia="宋体" w:cs="宋体"/>
                <w:color w:val="000000" w:themeColor="text1"/>
                <w:sz w:val="24"/>
                <w:szCs w:val="24"/>
                <w14:textFill>
                  <w14:solidFill>
                    <w14:schemeClr w14:val="tx1"/>
                  </w14:solidFill>
                </w14:textFill>
              </w:rPr>
              <w:t>办好安康龙舟节、“村BA”“村光大道”等地方特色文旅体育活动，持续打造全国少儿围棋公开赛特色赛事IP。开发汉江夜游等水上精品线路，培育10个夜间消费集聚区，丰富文旅消费产品供给。拓展西安、重庆等核心客源地，加强新媒体矩阵建设，提升传播精准度，做好“引客入安”工作。</w:t>
            </w:r>
          </w:p>
          <w:p w14:paraId="0BA7A543">
            <w:pPr>
              <w:overflowPunct w:val="0"/>
              <w:topLinePunct/>
              <w:adjustRightInd w:val="0"/>
              <w:snapToGrid w:val="0"/>
              <w:spacing w:line="400" w:lineRule="exact"/>
              <w:ind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（四）培育健康养老消费。</w:t>
            </w:r>
            <w:r>
              <w:rPr>
                <w:rFonts w:hint="eastAsia" w:ascii="宋体" w:hAnsi="宋体" w:eastAsia="宋体" w:cs="宋体"/>
                <w:color w:val="000000" w:themeColor="text1"/>
                <w:sz w:val="24"/>
                <w:szCs w:val="24"/>
                <w14:textFill>
                  <w14:solidFill>
                    <w14:schemeClr w14:val="tx1"/>
                  </w14:solidFill>
                </w14:textFill>
              </w:rPr>
              <w:t>统筹盘活乡镇（街道）、村（社区）闲置资源，畅通区域内养老服务供需渠道，为老年人提供短期照料、日间照护、康复护理、休闲娱乐等服务，构建“一刻钟”养老服务消费圈。</w:t>
            </w:r>
          </w:p>
        </w:tc>
      </w:tr>
    </w:tbl>
    <w:p w14:paraId="01780E85">
      <w:pPr>
        <w:overflowPunct w:val="0"/>
        <w:topLinePunct/>
        <w:spacing w:line="440" w:lineRule="exact"/>
        <w:ind w:firstLine="640" w:firstLineChars="200"/>
        <w:rPr>
          <w:rFonts w:ascii="仿宋_GB2312" w:hAnsi="方正仿宋_GB2312" w:eastAsia="仿宋_GB2312" w:cs="方正仿宋_GB2312"/>
          <w:color w:val="000000" w:themeColor="text1"/>
          <w:sz w:val="32"/>
          <w:szCs w:val="32"/>
          <w14:textFill>
            <w14:solidFill>
              <w14:schemeClr w14:val="tx1"/>
            </w14:solidFill>
          </w14:textFill>
        </w:rPr>
      </w:pPr>
    </w:p>
    <w:p w14:paraId="5D3ED595">
      <w:pPr>
        <w:pStyle w:val="6"/>
        <w:overflowPunct w:val="0"/>
        <w:topLinePunct/>
        <w:spacing w:before="312" w:beforeLines="100" w:after="312" w:afterLines="100"/>
        <w:rPr>
          <w:color w:val="000000" w:themeColor="text1"/>
          <w14:textFill>
            <w14:solidFill>
              <w14:schemeClr w14:val="tx1"/>
            </w14:solidFill>
          </w14:textFill>
        </w:rPr>
      </w:pPr>
      <w:bookmarkStart w:id="34" w:name="_Toc8826"/>
      <w:r>
        <w:rPr>
          <w:rFonts w:hint="eastAsia"/>
          <w:color w:val="000000" w:themeColor="text1"/>
          <w14:textFill>
            <w14:solidFill>
              <w14:schemeClr w14:val="tx1"/>
            </w14:solidFill>
          </w14:textFill>
        </w:rPr>
        <w:t>第二章 持续扩大有效投资</w:t>
      </w:r>
      <w:bookmarkEnd w:id="34"/>
    </w:p>
    <w:p w14:paraId="170AD31B">
      <w:pPr>
        <w:overflowPunct w:val="0"/>
        <w:topLinePunct/>
        <w:spacing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优化调整投资结构。</w:t>
      </w:r>
      <w:r>
        <w:rPr>
          <w:rFonts w:ascii="仿宋_GB2312" w:hAnsi="方正仿宋_GB2312" w:eastAsia="仿宋_GB2312" w:cs="方正仿宋_GB2312"/>
          <w:color w:val="000000" w:themeColor="text1"/>
          <w:sz w:val="32"/>
          <w:szCs w:val="32"/>
          <w14:textFill>
            <w14:solidFill>
              <w14:schemeClr w14:val="tx1"/>
            </w14:solidFill>
          </w14:textFill>
        </w:rPr>
        <w:t>优化政府投资结构，</w:t>
      </w:r>
      <w:r>
        <w:rPr>
          <w:rFonts w:hint="eastAsia" w:ascii="仿宋_GB2312" w:hAnsi="方正仿宋_GB2312" w:eastAsia="仿宋_GB2312" w:cs="方正仿宋_GB2312"/>
          <w:color w:val="000000" w:themeColor="text1"/>
          <w:sz w:val="32"/>
          <w:szCs w:val="32"/>
          <w14:textFill>
            <w14:solidFill>
              <w14:schemeClr w14:val="tx1"/>
            </w14:solidFill>
          </w14:textFill>
        </w:rPr>
        <w:t>坚持“投资于人”和“投资于物”相结合，加强教育、医疗、养老等民生项目谋划建设，全力推进交通、水利、生态环境、城市更新等基础设施补短工程，以精准投向引领投资结构升级，实现产业、民生、生态投资协同增效。围绕“两重”“两新”领域，谋划实施一批强基础、增功能、利长远、保安全的重大项目。健全市级主导、部门协作、县区协同、专业机构参与的项目谋划储备机制，聚焦重点产业链补链强链、设备更新、基础设施等领域，动态充实项目库，增强投资有效性。</w:t>
      </w:r>
    </w:p>
    <w:p w14:paraId="01518C27">
      <w:pPr>
        <w:overflowPunct w:val="0"/>
        <w:topLinePunct/>
        <w:spacing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激发民间投资活力。</w:t>
      </w:r>
      <w:r>
        <w:rPr>
          <w:rFonts w:hint="eastAsia" w:ascii="仿宋_GB2312" w:hAnsi="方正仿宋_GB2312" w:eastAsia="仿宋_GB2312" w:cs="方正仿宋_GB2312"/>
          <w:color w:val="000000" w:themeColor="text1"/>
          <w:sz w:val="32"/>
          <w:szCs w:val="32"/>
          <w14:textFill>
            <w14:solidFill>
              <w14:schemeClr w14:val="tx1"/>
            </w14:solidFill>
          </w14:textFill>
        </w:rPr>
        <w:t>鼓励引导民间资本通过多种方式参与补短板领域重大项目建设，完善民间资本参与重大项目长效机制。提高民间投资审批、融资协调和项目服务效能，深入落实市场准入负面清单制度，破除民间投资壁垒，引导民间资本积极投资。鼓励政府常态化向民间资本推介优质项目，加大中央预算内投资对符合条件民间投资项目的支持力度，用好新型政策性金融工具，支持一批符合条件的重要行业、重点领域民间投资项目，补充项目资本金，增强民间投资持续稳定增长动力。加快招商引资，发挥政府投资的撬动作用，激发民间资本活力和动力，形成市场主导的投资内生增长机制。健全民间投资协调促进机制，及时破解民间投资难题，为民间投资项目落地建设提速。</w:t>
      </w:r>
    </w:p>
    <w:p w14:paraId="6F1CEF3B">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深化投融资机制改革。</w:t>
      </w:r>
      <w:r>
        <w:rPr>
          <w:rFonts w:ascii="仿宋_GB2312" w:hAnsi="方正仿宋_GB2312" w:eastAsia="仿宋_GB2312" w:cs="方正仿宋_GB2312"/>
          <w:color w:val="000000" w:themeColor="text1"/>
          <w:sz w:val="32"/>
          <w:szCs w:val="32"/>
          <w14:textFill>
            <w14:solidFill>
              <w14:schemeClr w14:val="tx1"/>
            </w14:solidFill>
          </w14:textFill>
        </w:rPr>
        <w:t>发挥政府投资基金的引导和杠杆作用，积极争取</w:t>
      </w:r>
      <w:r>
        <w:rPr>
          <w:rFonts w:hint="eastAsia" w:ascii="仿宋_GB2312" w:hAnsi="方正仿宋_GB2312" w:eastAsia="仿宋_GB2312" w:cs="方正仿宋_GB2312"/>
          <w:color w:val="000000" w:themeColor="text1"/>
          <w:sz w:val="32"/>
          <w:szCs w:val="32"/>
          <w14:textFill>
            <w14:solidFill>
              <w14:schemeClr w14:val="tx1"/>
            </w14:solidFill>
          </w14:textFill>
        </w:rPr>
        <w:t>中</w:t>
      </w:r>
      <w:r>
        <w:rPr>
          <w:rFonts w:ascii="仿宋_GB2312" w:hAnsi="方正仿宋_GB2312" w:eastAsia="仿宋_GB2312" w:cs="方正仿宋_GB2312"/>
          <w:color w:val="000000" w:themeColor="text1"/>
          <w:sz w:val="32"/>
          <w:szCs w:val="32"/>
          <w14:textFill>
            <w14:solidFill>
              <w14:schemeClr w14:val="tx1"/>
            </w14:solidFill>
          </w14:textFill>
        </w:rPr>
        <w:t>省产业引导基金</w:t>
      </w:r>
      <w:r>
        <w:rPr>
          <w:rFonts w:hint="eastAsia" w:ascii="仿宋_GB2312" w:hAnsi="方正仿宋_GB2312" w:eastAsia="仿宋_GB2312" w:cs="方正仿宋_GB2312"/>
          <w:color w:val="000000" w:themeColor="text1"/>
          <w:sz w:val="32"/>
          <w:szCs w:val="32"/>
          <w14:textFill>
            <w14:solidFill>
              <w14:schemeClr w14:val="tx1"/>
            </w14:solidFill>
          </w14:textFill>
        </w:rPr>
        <w:t>，</w:t>
      </w:r>
      <w:r>
        <w:rPr>
          <w:rFonts w:ascii="仿宋_GB2312" w:hAnsi="方正仿宋_GB2312" w:eastAsia="仿宋_GB2312" w:cs="方正仿宋_GB2312"/>
          <w:color w:val="000000" w:themeColor="text1"/>
          <w:sz w:val="32"/>
          <w:szCs w:val="32"/>
          <w14:textFill>
            <w14:solidFill>
              <w14:schemeClr w14:val="tx1"/>
            </w14:solidFill>
          </w14:textFill>
        </w:rPr>
        <w:t>拓宽项目融资渠道。搭建常态化政银企对接平台，健全重大项目融资白名单制度，实现资金供给与项目需求精准匹配，全面提升投资效益。</w:t>
      </w:r>
      <w:r>
        <w:rPr>
          <w:rFonts w:hint="eastAsia" w:ascii="仿宋_GB2312" w:hAnsi="方正仿宋_GB2312" w:eastAsia="仿宋_GB2312" w:cs="方正仿宋_GB2312"/>
          <w:color w:val="000000" w:themeColor="text1"/>
          <w:sz w:val="32"/>
          <w:szCs w:val="32"/>
          <w14:textFill>
            <w14:solidFill>
              <w14:schemeClr w14:val="tx1"/>
            </w14:solidFill>
          </w14:textFill>
        </w:rPr>
        <w:t>深入推进投资审批制度改革，加强政府投资全过程管理，建立健全政府投资效益评价。探索编制全口径政府投资计划，</w:t>
      </w:r>
      <w:r>
        <w:rPr>
          <w:rFonts w:ascii="仿宋_GB2312" w:hAnsi="方正仿宋_GB2312" w:eastAsia="仿宋_GB2312" w:cs="方正仿宋_GB2312"/>
          <w:color w:val="000000" w:themeColor="text1"/>
          <w:sz w:val="32"/>
          <w:szCs w:val="32"/>
          <w14:textFill>
            <w14:solidFill>
              <w14:schemeClr w14:val="tx1"/>
            </w14:solidFill>
          </w14:textFill>
        </w:rPr>
        <w:t>完善</w:t>
      </w:r>
      <w:r>
        <w:rPr>
          <w:rFonts w:hint="eastAsia" w:ascii="仿宋_GB2312" w:hAnsi="方正仿宋_GB2312" w:eastAsia="仿宋_GB2312" w:cs="方正仿宋_GB2312"/>
          <w:color w:val="000000" w:themeColor="text1"/>
          <w:sz w:val="32"/>
          <w:szCs w:val="32"/>
          <w14:textFill>
            <w14:solidFill>
              <w14:schemeClr w14:val="tx1"/>
            </w14:solidFill>
          </w14:textFill>
        </w:rPr>
        <w:t>投资</w:t>
      </w:r>
      <w:r>
        <w:rPr>
          <w:rFonts w:ascii="仿宋_GB2312" w:hAnsi="方正仿宋_GB2312" w:eastAsia="仿宋_GB2312" w:cs="方正仿宋_GB2312"/>
          <w:color w:val="000000" w:themeColor="text1"/>
          <w:sz w:val="32"/>
          <w:szCs w:val="32"/>
          <w14:textFill>
            <w14:solidFill>
              <w14:schemeClr w14:val="tx1"/>
            </w14:solidFill>
          </w14:textFill>
        </w:rPr>
        <w:t>项目动态管理机制，强化项目全生命周期监管</w:t>
      </w:r>
      <w:r>
        <w:rPr>
          <w:rFonts w:hint="eastAsia" w:ascii="仿宋_GB2312" w:hAnsi="方正仿宋_GB2312" w:eastAsia="仿宋_GB2312" w:cs="方正仿宋_GB2312"/>
          <w:color w:val="000000" w:themeColor="text1"/>
          <w:sz w:val="32"/>
          <w:szCs w:val="32"/>
          <w14:textFill>
            <w14:solidFill>
              <w14:schemeClr w14:val="tx1"/>
            </w14:solidFill>
          </w14:textFill>
        </w:rPr>
        <w:t>和服务，打造审批快、保障好、成本低、服务优、协同强的项目服务保障体系，</w:t>
      </w:r>
      <w:r>
        <w:rPr>
          <w:rFonts w:ascii="仿宋_GB2312" w:hAnsi="方正仿宋_GB2312" w:eastAsia="仿宋_GB2312" w:cs="方正仿宋_GB2312"/>
          <w:color w:val="000000" w:themeColor="text1"/>
          <w:sz w:val="32"/>
          <w:szCs w:val="32"/>
          <w14:textFill>
            <w14:solidFill>
              <w14:schemeClr w14:val="tx1"/>
            </w14:solidFill>
          </w14:textFill>
        </w:rPr>
        <w:t>提升投资精准性与效益</w:t>
      </w:r>
      <w:r>
        <w:rPr>
          <w:rFonts w:hint="eastAsia" w:ascii="仿宋_GB2312" w:hAnsi="方正仿宋_GB2312" w:eastAsia="仿宋_GB2312" w:cs="方正仿宋_GB2312"/>
          <w:color w:val="000000" w:themeColor="text1"/>
          <w:sz w:val="32"/>
          <w:szCs w:val="32"/>
          <w14:textFill>
            <w14:solidFill>
              <w14:schemeClr w14:val="tx1"/>
            </w14:solidFill>
          </w14:textFill>
        </w:rPr>
        <w:t>。</w:t>
      </w:r>
    </w:p>
    <w:p w14:paraId="6B9D060F">
      <w:pPr>
        <w:pStyle w:val="6"/>
        <w:overflowPunct w:val="0"/>
        <w:topLinePunct/>
        <w:spacing w:before="312" w:beforeLines="100" w:after="312" w:afterLines="100"/>
        <w:rPr>
          <w:color w:val="000000" w:themeColor="text1"/>
          <w14:textFill>
            <w14:solidFill>
              <w14:schemeClr w14:val="tx1"/>
            </w14:solidFill>
          </w14:textFill>
        </w:rPr>
      </w:pPr>
      <w:bookmarkStart w:id="35" w:name="_Toc9122"/>
      <w:bookmarkStart w:id="36" w:name="_Toc917"/>
      <w:r>
        <w:rPr>
          <w:rFonts w:hint="eastAsia"/>
          <w:color w:val="000000" w:themeColor="text1"/>
          <w14:textFill>
            <w14:solidFill>
              <w14:schemeClr w14:val="tx1"/>
            </w14:solidFill>
          </w14:textFill>
        </w:rPr>
        <w:t xml:space="preserve">第三章 </w:t>
      </w:r>
      <w:bookmarkEnd w:id="35"/>
      <w:r>
        <w:rPr>
          <w:rFonts w:hint="eastAsia"/>
          <w:color w:val="000000" w:themeColor="text1"/>
          <w14:textFill>
            <w14:solidFill>
              <w14:schemeClr w14:val="tx1"/>
            </w14:solidFill>
          </w14:textFill>
        </w:rPr>
        <w:t>加强现代化基础设施建设</w:t>
      </w:r>
      <w:bookmarkEnd w:id="36"/>
    </w:p>
    <w:p w14:paraId="251C249D">
      <w:pPr>
        <w:overflowPunct w:val="0"/>
        <w:topLinePunct/>
        <w:spacing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畅通铁路通道。</w:t>
      </w:r>
      <w:r>
        <w:rPr>
          <w:rFonts w:hint="eastAsia" w:ascii="仿宋_GB2312" w:hAnsi="仿宋_GB2312" w:eastAsia="仿宋_GB2312" w:cs="仿宋_GB2312"/>
          <w:color w:val="000000" w:themeColor="text1"/>
          <w:sz w:val="32"/>
          <w:szCs w:val="32"/>
          <w14:textFill>
            <w14:solidFill>
              <w14:schemeClr w14:val="tx1"/>
            </w14:solidFill>
          </w14:textFill>
        </w:rPr>
        <w:t>全力保障西康、康渝高铁建成运营。开展“汉安十”高速铁路、“安恩张”铁路规划研究，适时争取纳入国家规划建设。推动安康东站货运枢纽扩能升级，推进货运铁路支线+西安铁路集换站建设。</w:t>
      </w:r>
    </w:p>
    <w:p w14:paraId="58C0B1CD">
      <w:pPr>
        <w:overflowPunct w:val="0"/>
        <w:topLinePunct/>
        <w:spacing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优化公路网络。</w:t>
      </w:r>
      <w:r>
        <w:rPr>
          <w:rFonts w:hint="eastAsia" w:ascii="仿宋_GB2312" w:hAnsi="方正仿宋_GB2312" w:eastAsia="仿宋_GB2312" w:cs="方正仿宋_GB2312"/>
          <w:color w:val="000000" w:themeColor="text1"/>
          <w:sz w:val="32"/>
          <w:szCs w:val="32"/>
          <w14:textFill>
            <w14:solidFill>
              <w14:schemeClr w14:val="tx1"/>
            </w14:solidFill>
          </w14:textFill>
        </w:rPr>
        <w:t>推动十巫高速公路镇坪段如期贯通，推进丹宁高速公路（镇安至宁陕段）、桐旬高速公路建设，提速旬阳-平利、平利-岚皋-紫阳高速公路前期工作。推进国省道干线公路、县乡公路升级和智慧交通建设，实施新一轮农村公路提升行动，抓好“四好农村路”建设，提升农村公路通达保障能力。</w:t>
      </w:r>
    </w:p>
    <w:p w14:paraId="5CA91C77">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提升航空效能。</w:t>
      </w:r>
      <w:r>
        <w:rPr>
          <w:rFonts w:hint="eastAsia" w:ascii="仿宋_GB2312" w:hAnsi="方正仿宋_GB2312" w:eastAsia="仿宋_GB2312" w:cs="方正仿宋_GB2312"/>
          <w:color w:val="000000" w:themeColor="text1"/>
          <w:sz w:val="32"/>
          <w:szCs w:val="32"/>
          <w14:textFill>
            <w14:solidFill>
              <w14:schemeClr w14:val="tx1"/>
            </w14:solidFill>
          </w14:textFill>
        </w:rPr>
        <w:t>加快完善航线网络，优化既有航线和航班时刻安排，有序开通热门城市航线，实现更多国内旅游城市和省会城市直航通达。扩能安康富强机场，科学布局县域通用机场、镇级直升机起降点，构建支线机场与通用机场协调发展格局。</w:t>
      </w:r>
    </w:p>
    <w:p w14:paraId="74E2157E">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拓展水运航线。</w:t>
      </w:r>
      <w:r>
        <w:rPr>
          <w:rFonts w:hint="eastAsia" w:ascii="仿宋_GB2312" w:hAnsi="方正仿宋_GB2312" w:eastAsia="仿宋_GB2312" w:cs="方正仿宋_GB2312"/>
          <w:color w:val="000000" w:themeColor="text1"/>
          <w:sz w:val="32"/>
          <w:szCs w:val="32"/>
          <w14:textFill>
            <w14:solidFill>
              <w14:schemeClr w14:val="tx1"/>
            </w14:solidFill>
          </w14:textFill>
        </w:rPr>
        <w:t>推动汉江安康段全面复航，打造“一通道、两中心、六枢纽、多节点”的航运总体布局。加快安康至丹江口段高等级航道建设，推动安康至襄阳至武汉航运复兴，新建改建一批客货运港口码头，提升汉江航道通航能力和货运量。</w:t>
      </w:r>
    </w:p>
    <w:p w14:paraId="7BDDDB4E">
      <w:pPr>
        <w:overflowPunct w:val="0"/>
        <w:topLinePunct/>
        <w:spacing w:after="312" w:afterLines="100"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升级运输服务</w:t>
      </w:r>
      <w:r>
        <w:rPr>
          <w:rFonts w:hint="eastAsia" w:ascii="仿宋_GB2312" w:hAnsi="方正仿宋_GB2312" w:eastAsia="仿宋_GB2312" w:cs="方正仿宋_GB2312"/>
          <w:color w:val="000000" w:themeColor="text1"/>
          <w:sz w:val="32"/>
          <w:szCs w:val="32"/>
          <w14:textFill>
            <w14:solidFill>
              <w14:schemeClr w14:val="tx1"/>
            </w14:solidFill>
          </w14:textFill>
        </w:rPr>
        <w:t>。优先发展城市公共交通，调整优化客运班线与公交线路，推动智慧公交、城乡客运服务一体化发展。规范出租车、网约车经营，提升便民服务水平。推广节能环保、清洁高效的交通运输装备，有序淘汰高能耗高排放老旧车辆，加快实现运输服务全面绿色低碳转型</w:t>
      </w:r>
      <w:r>
        <w:rPr>
          <w:rFonts w:ascii="仿宋_GB2312" w:hAnsi="方正仿宋_GB2312" w:eastAsia="仿宋_GB2312" w:cs="方正仿宋_GB2312"/>
          <w:color w:val="000000" w:themeColor="text1"/>
          <w:sz w:val="32"/>
          <w:szCs w:val="32"/>
          <w14:textFill>
            <w14:solidFill>
              <w14:schemeClr w14:val="tx1"/>
            </w14:solidFill>
          </w14:textFill>
        </w:rPr>
        <w:t>。</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FF1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15FC2FE9">
            <w:pPr>
              <w:overflowPunct w:val="0"/>
              <w:topLinePunct/>
              <w:spacing w:line="44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专栏7  重点交通基础设施建设工程</w:t>
            </w:r>
          </w:p>
        </w:tc>
      </w:tr>
      <w:tr w14:paraId="2881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12043BA">
            <w:pPr>
              <w:overflowPunct w:val="0"/>
              <w:topLinePunct/>
              <w:spacing w:before="156" w:beforeLines="50" w:line="440" w:lineRule="exact"/>
              <w:ind w:firstLine="480" w:firstLineChars="200"/>
              <w:contextualSpacing/>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（一）铁路建设。</w:t>
            </w:r>
            <w:r>
              <w:rPr>
                <w:rFonts w:hint="eastAsia" w:ascii="Times New Roman" w:hAnsi="Times New Roman" w:eastAsia="宋体" w:cs="Times New Roman"/>
                <w:color w:val="000000" w:themeColor="text1"/>
                <w:sz w:val="24"/>
                <w:szCs w:val="24"/>
                <w14:textFill>
                  <w14:solidFill>
                    <w14:schemeClr w14:val="tx1"/>
                  </w14:solidFill>
                </w14:textFill>
              </w:rPr>
              <w:t>建成西渝高铁，加快推进“汉安十”高速铁路、“安恩张”铁路前期工作。</w:t>
            </w:r>
          </w:p>
          <w:p w14:paraId="010F59E0">
            <w:pPr>
              <w:overflowPunct w:val="0"/>
              <w:topLinePunct/>
              <w:spacing w:line="440" w:lineRule="exact"/>
              <w:ind w:firstLine="480" w:firstLineChars="200"/>
              <w:contextualSpacing/>
              <w:rPr>
                <w:rFonts w:ascii="楷体" w:hAnsi="楷体" w:eastAsia="宋体" w:cs="楷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（二）公路建设。</w:t>
            </w:r>
            <w:r>
              <w:rPr>
                <w:rFonts w:hint="eastAsia" w:ascii="宋体" w:hAnsi="宋体" w:eastAsia="宋体" w:cs="宋体"/>
                <w:color w:val="000000" w:themeColor="text1"/>
                <w:sz w:val="24"/>
                <w:szCs w:val="24"/>
                <w14:textFill>
                  <w14:solidFill>
                    <w14:schemeClr w14:val="tx1"/>
                  </w14:solidFill>
                </w14:textFill>
              </w:rPr>
              <w:t>加快“十巫”高速镇坪段建设，力争桐木至旬阳、丹宁高速（镇安至宁陕段）开工建设，推进旬阳-平利、平利-岚皋-紫阳高速公路前期工作。</w:t>
            </w:r>
          </w:p>
          <w:p w14:paraId="7C12AC5E">
            <w:pPr>
              <w:overflowPunct w:val="0"/>
              <w:topLinePunct/>
              <w:spacing w:line="440" w:lineRule="exact"/>
              <w:ind w:firstLine="480" w:firstLineChars="200"/>
              <w:contextualSpacing/>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（三）航空建设。</w:t>
            </w:r>
            <w:r>
              <w:rPr>
                <w:rFonts w:hint="eastAsia" w:ascii="宋体" w:hAnsi="宋体" w:eastAsia="宋体" w:cs="宋体"/>
                <w:color w:val="000000" w:themeColor="text1"/>
                <w:sz w:val="24"/>
                <w:szCs w:val="24"/>
                <w14:textFill>
                  <w14:solidFill>
                    <w14:schemeClr w14:val="tx1"/>
                  </w14:solidFill>
                </w14:textFill>
              </w:rPr>
              <w:t>加快富强机场二期扩建项目建设，加快石泉、白河、镇坪通用机场前期工作。</w:t>
            </w:r>
          </w:p>
          <w:p w14:paraId="5C7CE3F8">
            <w:pPr>
              <w:overflowPunct w:val="0"/>
              <w:topLinePunct/>
              <w:spacing w:after="93" w:afterLines="30" w:line="440" w:lineRule="exact"/>
              <w:ind w:firstLine="480" w:firstLineChars="200"/>
              <w:contextualSpacing/>
              <w:rPr>
                <w:rFonts w:ascii="宋体" w:hAnsi="宋体" w:eastAsia="宋体" w:cs="宋体"/>
                <w:b/>
                <w:bCs/>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（四）航运建设。</w:t>
            </w:r>
            <w:r>
              <w:rPr>
                <w:rFonts w:hint="eastAsia" w:ascii="宋体" w:hAnsi="宋体" w:eastAsia="宋体" w:cs="Times New Roman"/>
                <w:color w:val="000000" w:themeColor="text1"/>
                <w:spacing w:val="-4"/>
                <w:sz w:val="24"/>
                <w:szCs w:val="24"/>
                <w14:textFill>
                  <w14:solidFill>
                    <w14:schemeClr w14:val="tx1"/>
                  </w14:solidFill>
                </w14:textFill>
              </w:rPr>
              <w:t>新改建安康中心港、旬阳港、白河港、皂树岭港，推进旬阳电站、蜀河电站过船设施建设，全力推进公铁水联运项目，加快铁路港站与港区堆场衔接。</w:t>
            </w:r>
          </w:p>
        </w:tc>
      </w:tr>
    </w:tbl>
    <w:p w14:paraId="6B52DD4E">
      <w:pPr>
        <w:overflowPunct w:val="0"/>
        <w:topLinePunct/>
        <w:spacing w:before="312" w:beforeLines="100" w:line="560" w:lineRule="exact"/>
        <w:ind w:firstLine="643" w:firstLineChars="200"/>
        <w:rPr>
          <w:rFonts w:ascii="仿宋_GB2312" w:hAnsi="方正仿宋_GB2312" w:eastAsia="仿宋_GB2312" w:cs="方正仿宋_GB2312"/>
          <w:color w:val="000000" w:themeColor="text1"/>
          <w:sz w:val="30"/>
          <w:szCs w:val="30"/>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构建安澜水网。</w:t>
      </w:r>
      <w:r>
        <w:rPr>
          <w:rFonts w:hint="eastAsia" w:ascii="仿宋_GB2312" w:eastAsia="仿宋_GB2312" w:cs="仿宋_GB2312"/>
          <w:color w:val="000000" w:themeColor="text1"/>
          <w:sz w:val="32"/>
          <w:szCs w:val="32"/>
          <w14:textFill>
            <w14:solidFill>
              <w14:schemeClr w14:val="tx1"/>
            </w14:solidFill>
          </w14:textFill>
        </w:rPr>
        <w:t>加快推动月河片区现代水网提档升级，推进恒河水库等重点水源工程建设，实施</w:t>
      </w:r>
      <w:r>
        <w:rPr>
          <w:rFonts w:ascii="仿宋_GB2312" w:hAnsi="Calibri" w:eastAsia="仿宋_GB2312" w:cs="仿宋_GB2312"/>
          <w:color w:val="000000" w:themeColor="text1"/>
          <w:sz w:val="32"/>
          <w:szCs w:val="32"/>
          <w14:textFill>
            <w14:solidFill>
              <w14:schemeClr w14:val="tx1"/>
            </w14:solidFill>
          </w14:textFill>
        </w:rPr>
        <w:t>洞河水库</w:t>
      </w:r>
      <w:r>
        <w:rPr>
          <w:rFonts w:hint="eastAsia" w:ascii="仿宋_GB2312" w:hAnsi="Calibri" w:eastAsia="仿宋_GB2312" w:cs="仿宋_GB2312"/>
          <w:color w:val="000000" w:themeColor="text1"/>
          <w:sz w:val="32"/>
          <w:szCs w:val="32"/>
          <w14:textFill>
            <w14:solidFill>
              <w14:schemeClr w14:val="tx1"/>
            </w14:solidFill>
          </w14:textFill>
        </w:rPr>
        <w:t>等引调水</w:t>
      </w:r>
      <w:r>
        <w:rPr>
          <w:rFonts w:ascii="仿宋_GB2312" w:hAnsi="Calibri" w:eastAsia="仿宋_GB2312" w:cs="仿宋_GB2312"/>
          <w:color w:val="000000" w:themeColor="text1"/>
          <w:sz w:val="32"/>
          <w:szCs w:val="32"/>
          <w14:textFill>
            <w14:solidFill>
              <w14:schemeClr w14:val="tx1"/>
            </w14:solidFill>
          </w14:textFill>
        </w:rPr>
        <w:t>工程</w:t>
      </w:r>
      <w:r>
        <w:rPr>
          <w:rFonts w:hint="eastAsia" w:ascii="仿宋_GB2312" w:eastAsia="仿宋_GB2312" w:cs="仿宋_GB2312"/>
          <w:color w:val="000000" w:themeColor="text1"/>
          <w:sz w:val="32"/>
          <w:szCs w:val="32"/>
          <w14:textFill>
            <w14:solidFill>
              <w14:schemeClr w14:val="tx1"/>
            </w14:solidFill>
          </w14:textFill>
        </w:rPr>
        <w:t>配套，优化重点区域水资源配置。稳步推进城乡供水一体化与规模化发展，有序开展中小型灌区设施建设与改造，促进水源互通、管网互联，提升重点地区供水保障能力。持续推进主要支流、中小河流治理和山洪灾害防治，加强</w:t>
      </w:r>
      <w:r>
        <w:rPr>
          <w:rFonts w:hint="eastAsia" w:ascii="仿宋_GB2312" w:hAnsi="仿宋_GB2312" w:eastAsia="仿宋_GB2312" w:cs="仿宋_GB2312"/>
          <w:color w:val="000000" w:themeColor="text1"/>
          <w:kern w:val="0"/>
          <w:sz w:val="32"/>
          <w:szCs w:val="32"/>
          <w14:textFill>
            <w14:solidFill>
              <w14:schemeClr w14:val="tx1"/>
            </w14:solidFill>
          </w14:textFill>
        </w:rPr>
        <w:t>水库监测和病险水库除险加固，</w:t>
      </w:r>
      <w:r>
        <w:rPr>
          <w:rFonts w:hint="eastAsia" w:ascii="仿宋_GB2312" w:eastAsia="仿宋_GB2312" w:cs="仿宋_GB2312"/>
          <w:color w:val="000000" w:themeColor="text1"/>
          <w:sz w:val="32"/>
          <w:szCs w:val="32"/>
          <w14:textFill>
            <w14:solidFill>
              <w14:schemeClr w14:val="tx1"/>
            </w14:solidFill>
          </w14:textFill>
        </w:rPr>
        <w:t>探索建立水库度汛联防联控机制，完善城镇防洪体系。积极开展水土流失综合治理，扎实推进幸福河湖建设，加强水生态保护与修复。</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统筹推进水灾害防治、水资源节约、水生态保护、水环境治理，系统提升水安全保障能力</w:t>
      </w:r>
      <w:r>
        <w:rPr>
          <w:rFonts w:hint="eastAsia" w:ascii="仿宋_GB2312" w:hAnsi="方正仿宋_GB2312" w:eastAsia="仿宋_GB2312" w:cs="方正仿宋_GB2312"/>
          <w:color w:val="000000" w:themeColor="text1"/>
          <w:sz w:val="32"/>
          <w:szCs w:val="32"/>
          <w14:textFill>
            <w14:solidFill>
              <w14:schemeClr w14:val="tx1"/>
            </w14:solidFill>
          </w14:textFill>
        </w:rPr>
        <w:t>。</w:t>
      </w:r>
    </w:p>
    <w:tbl>
      <w:tblPr>
        <w:tblStyle w:val="34"/>
        <w:tblpPr w:leftFromText="180" w:rightFromText="180" w:vertAnchor="text" w:horzAnchor="page" w:tblpX="1567" w:tblpY="478"/>
        <w:tblOverlap w:val="never"/>
        <w:tblW w:w="50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7"/>
      </w:tblGrid>
      <w:tr w14:paraId="6D43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000" w:type="pct"/>
            <w:vAlign w:val="center"/>
          </w:tcPr>
          <w:p w14:paraId="05BE215C">
            <w:pPr>
              <w:overflowPunct w:val="0"/>
              <w:topLinePunct/>
              <w:spacing w:line="400" w:lineRule="exact"/>
              <w:jc w:val="center"/>
              <w:rPr>
                <w:rFonts w:ascii="Times New Roman" w:hAnsi="Times New Roman" w:eastAsia="方正仿宋_GB2312" w:cs="Times New Roman"/>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专栏8  水利设施重点建设工程</w:t>
            </w:r>
          </w:p>
        </w:tc>
      </w:tr>
      <w:tr w14:paraId="24A5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2" w:hRule="atLeast"/>
        </w:trPr>
        <w:tc>
          <w:tcPr>
            <w:tcW w:w="5000" w:type="pct"/>
          </w:tcPr>
          <w:p w14:paraId="6DA7BBE2">
            <w:pPr>
              <w:widowControl/>
              <w:overflowPunct w:val="0"/>
              <w:topLinePunct/>
              <w:spacing w:line="40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（一）水资源配置工程。</w:t>
            </w:r>
            <w:r>
              <w:rPr>
                <w:rFonts w:hint="eastAsia" w:ascii="宋体" w:hAnsi="宋体" w:eastAsia="宋体" w:cs="Times New Roman"/>
                <w:color w:val="000000" w:themeColor="text1"/>
                <w:sz w:val="24"/>
                <w:szCs w:val="24"/>
                <w14:textFill>
                  <w14:solidFill>
                    <w14:schemeClr w14:val="tx1"/>
                  </w14:solidFill>
                </w14:textFill>
              </w:rPr>
              <w:t>持续推进恒河水库、紫阳瓦房沟水库、宁陕双河沟水库等中小型水库水源建设，加快双营水库、紫阳安五水库等项目前期论证，完善洞河水库等引调水工程配套体系，持续增强中心城区、月河片区、重点城镇及灌区水源保障能力</w:t>
            </w:r>
            <w:r>
              <w:rPr>
                <w:rFonts w:hint="eastAsia" w:ascii="Times New Roman" w:hAnsi="Times New Roman" w:eastAsia="宋体" w:cs="Times New Roman"/>
                <w:color w:val="000000" w:themeColor="text1"/>
                <w:sz w:val="24"/>
                <w:szCs w:val="24"/>
                <w14:textFill>
                  <w14:solidFill>
                    <w14:schemeClr w14:val="tx1"/>
                  </w14:solidFill>
                </w14:textFill>
              </w:rPr>
              <w:t>。</w:t>
            </w:r>
          </w:p>
          <w:p w14:paraId="264E29AF">
            <w:pPr>
              <w:widowControl/>
              <w:overflowPunct w:val="0"/>
              <w:topLinePunct/>
              <w:spacing w:line="400" w:lineRule="exact"/>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（二）防洪减灾工程。</w:t>
            </w:r>
            <w:r>
              <w:rPr>
                <w:rFonts w:hint="eastAsia" w:ascii="宋体" w:hAnsi="宋体" w:eastAsia="宋体" w:cs="Times New Roman"/>
                <w:color w:val="000000" w:themeColor="text1"/>
                <w:sz w:val="24"/>
                <w:szCs w:val="24"/>
                <w14:textFill>
                  <w14:solidFill>
                    <w14:schemeClr w14:val="tx1"/>
                  </w14:solidFill>
                </w14:textFill>
              </w:rPr>
              <w:t>稳步实施汉江等主要支流治理，加快月河、恒河、蜀河等中小河流综合治理，有序推进汉滨区牛蹄镇朝天河等重点山洪沟防治。加强水库安全监测与病险水库除险加固，完善监测预警等非工程措施，健全城乡防洪体系，提升江河防洪能力。</w:t>
            </w:r>
          </w:p>
          <w:p w14:paraId="68E9C2E6">
            <w:pPr>
              <w:widowControl/>
              <w:numPr>
                <w:ilvl w:val="255"/>
                <w:numId w:val="0"/>
              </w:numPr>
              <w:overflowPunct w:val="0"/>
              <w:topLinePunct/>
              <w:spacing w:line="400" w:lineRule="exact"/>
              <w:ind w:firstLine="480" w:firstLineChars="200"/>
              <w:rPr>
                <w:rFonts w:ascii="楷体" w:hAnsi="楷体" w:eastAsia="楷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（三）城乡供水保障工程。</w:t>
            </w:r>
            <w:r>
              <w:rPr>
                <w:rFonts w:hint="eastAsia" w:ascii="宋体" w:hAnsi="宋体" w:eastAsia="宋体" w:cs="Times New Roman"/>
                <w:color w:val="000000" w:themeColor="text1"/>
                <w:sz w:val="24"/>
                <w:szCs w:val="24"/>
                <w14:textFill>
                  <w14:solidFill>
                    <w14:schemeClr w14:val="tx1"/>
                  </w14:solidFill>
                </w14:textFill>
              </w:rPr>
              <w:t>推进城乡供水一体化与规模化集中供水，实施汉滨区黄洋河片区城乡供水一体化工程、白河县冷水镇供水水源工程（川河水库）等项目，加强小型供水工程规范化建设和改造提升，深化工程建设和长效管护机制改革，推动农村供水高质量发展，切实保障农村饮水安全。</w:t>
            </w:r>
          </w:p>
          <w:p w14:paraId="68F4C853">
            <w:pPr>
              <w:widowControl/>
              <w:numPr>
                <w:ilvl w:val="255"/>
                <w:numId w:val="0"/>
              </w:numPr>
              <w:overflowPunct w:val="0"/>
              <w:topLinePunct/>
              <w:spacing w:line="400" w:lineRule="exact"/>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（四）水生态保护修复工程。</w:t>
            </w:r>
            <w:r>
              <w:rPr>
                <w:rFonts w:hint="eastAsia" w:ascii="宋体" w:hAnsi="宋体" w:eastAsia="宋体" w:cs="Times New Roman"/>
                <w:color w:val="000000" w:themeColor="text1"/>
                <w:sz w:val="24"/>
                <w:szCs w:val="24"/>
                <w14:textFill>
                  <w14:solidFill>
                    <w14:schemeClr w14:val="tx1"/>
                  </w14:solidFill>
                </w14:textFill>
              </w:rPr>
              <w:t>稳步实施汉滨区王家河小流域治理、汉阴县渭溪河小流域治理等水土保持综合治理工程，推进旬阳市吕河等幸福河湖建设，加强水生态保护与修复，强化河湖空间管控，推进水系连通，持续改善河流水质，提升区域水生态环境和生物多样性水平。</w:t>
            </w:r>
          </w:p>
          <w:p w14:paraId="52F5191A">
            <w:pPr>
              <w:widowControl/>
              <w:overflowPunct w:val="0"/>
              <w:topLinePunct/>
              <w:spacing w:line="400" w:lineRule="exact"/>
              <w:ind w:firstLine="480" w:firstLineChars="200"/>
              <w:rPr>
                <w:color w:val="000000" w:themeColor="text1"/>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（五）中小型灌区建设工程。</w:t>
            </w:r>
            <w:r>
              <w:rPr>
                <w:rFonts w:hint="eastAsia" w:ascii="宋体" w:hAnsi="宋体" w:eastAsia="宋体" w:cs="Times New Roman"/>
                <w:color w:val="000000" w:themeColor="text1"/>
                <w:sz w:val="24"/>
                <w:szCs w:val="24"/>
                <w14:textFill>
                  <w14:solidFill>
                    <w14:schemeClr w14:val="tx1"/>
                  </w14:solidFill>
                </w14:textFill>
              </w:rPr>
              <w:t>推进汉滨区许家河等中小型灌区续建配套与现代化改造，积极推进汉阴洞河、紫阳江北等中型灌区项目前期工作，论证并实施一批新建灌区项目，助力农业现代化发展。</w:t>
            </w:r>
          </w:p>
        </w:tc>
      </w:tr>
    </w:tbl>
    <w:p w14:paraId="1E63E1DB">
      <w:pPr>
        <w:overflowPunct w:val="0"/>
        <w:topLinePunct/>
        <w:spacing w:line="44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p>
    <w:p w14:paraId="6DCB1E9C">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保障能源安全。</w:t>
      </w:r>
      <w:r>
        <w:rPr>
          <w:rFonts w:hint="eastAsia" w:ascii="仿宋_GB2312" w:hAnsi="仿宋_GB2312" w:eastAsia="仿宋_GB2312" w:cs="仿宋_GB2312"/>
          <w:color w:val="000000" w:themeColor="text1"/>
          <w:sz w:val="32"/>
          <w:szCs w:val="32"/>
          <w14:textFill>
            <w14:solidFill>
              <w14:schemeClr w14:val="tx1"/>
            </w14:solidFill>
          </w14:textFill>
        </w:rPr>
        <w:t>加快智能电网建设，推动安康至汉中750千伏线路建设，建成紫阳、石泉、康渝高铁安康段330千伏变电站和锦屏330千伏第二电源等工程，新增330千伏变电容量144万千伏安；</w:t>
      </w:r>
      <w:r>
        <w:rPr>
          <w:rFonts w:hint="eastAsia" w:ascii="仿宋_GB2312" w:hAnsi="方正仿宋_GB2312" w:eastAsia="仿宋_GB2312" w:cs="方正仿宋_GB2312"/>
          <w:color w:val="000000" w:themeColor="text1"/>
          <w:sz w:val="32"/>
          <w:szCs w:val="32"/>
          <w14:textFill>
            <w14:solidFill>
              <w14:schemeClr w14:val="tx1"/>
            </w14:solidFill>
          </w14:textFill>
        </w:rPr>
        <w:t>推进110千伏及以下电网设施改造升级。完善燃气管网，加快天然气管网建设，推进燃气场站改造升级，有序推进储气调峰设施建设。</w:t>
      </w:r>
      <w:r>
        <w:rPr>
          <w:rFonts w:hint="eastAsia" w:ascii="仿宋_GB2312" w:hAnsi="仿宋_GB2312" w:eastAsia="仿宋_GB2312" w:cs="仿宋_GB2312"/>
          <w:color w:val="000000" w:themeColor="text1"/>
          <w:sz w:val="32"/>
          <w:szCs w:val="32"/>
          <w14:textFill>
            <w14:solidFill>
              <w14:schemeClr w14:val="tx1"/>
            </w14:solidFill>
          </w14:textFill>
        </w:rPr>
        <w:t>加大清洁可再生能源开发，</w:t>
      </w:r>
      <w:r>
        <w:rPr>
          <w:rFonts w:hint="eastAsia" w:ascii="仿宋_GB2312" w:hAnsi="方正仿宋_GB2312" w:eastAsia="仿宋_GB2312" w:cs="方正仿宋_GB2312"/>
          <w:color w:val="000000" w:themeColor="text1"/>
          <w:sz w:val="32"/>
          <w:szCs w:val="32"/>
          <w14:textFill>
            <w14:solidFill>
              <w14:schemeClr w14:val="tx1"/>
            </w14:solidFill>
          </w14:textFill>
        </w:rPr>
        <w:t>有序推进光伏、储能、生物质能、氢能等新能源项目，加快推进宁陕北、汉滨抽水蓄能电站建设，积极推进旬阳桂花、石泉、白河等抽水蓄能电站项目前期工作。</w:t>
      </w:r>
    </w:p>
    <w:p w14:paraId="631173E1">
      <w:pPr>
        <w:pStyle w:val="26"/>
        <w:spacing w:line="560" w:lineRule="exact"/>
        <w:rPr>
          <w:color w:val="000000" w:themeColor="text1"/>
          <w14:textFill>
            <w14:solidFill>
              <w14:schemeClr w14:val="tx1"/>
            </w14:solidFill>
          </w14:textFill>
        </w:rPr>
      </w:pPr>
    </w:p>
    <w:tbl>
      <w:tblPr>
        <w:tblStyle w:val="3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9"/>
      </w:tblGrid>
      <w:tr w14:paraId="179B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000" w:type="pct"/>
            <w:vAlign w:val="center"/>
          </w:tcPr>
          <w:p w14:paraId="13C67DE8">
            <w:pPr>
              <w:overflowPunct w:val="0"/>
              <w:topLinePunct/>
              <w:spacing w:line="440" w:lineRule="exact"/>
              <w:jc w:val="center"/>
              <w:rPr>
                <w:rFonts w:ascii="Times New Roman" w:hAnsi="Times New Roman" w:eastAsia="方正仿宋_GB2312" w:cs="Times New Roman"/>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专栏9  能源基础设施建设工程</w:t>
            </w:r>
          </w:p>
        </w:tc>
      </w:tr>
      <w:tr w14:paraId="0011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1" w:hRule="atLeast"/>
          <w:jc w:val="center"/>
        </w:trPr>
        <w:tc>
          <w:tcPr>
            <w:tcW w:w="5000" w:type="pct"/>
          </w:tcPr>
          <w:p w14:paraId="1AD7522B">
            <w:pPr>
              <w:overflowPunct w:val="0"/>
              <w:topLinePunct/>
              <w:spacing w:before="156" w:beforeLines="50" w:line="440" w:lineRule="exact"/>
              <w:ind w:firstLine="42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（一）电网工程。</w:t>
            </w:r>
            <w:r>
              <w:rPr>
                <w:rFonts w:hint="eastAsia" w:ascii="宋体" w:hAnsi="宋体" w:eastAsia="宋体" w:cs="宋体"/>
                <w:color w:val="000000" w:themeColor="text1"/>
                <w:sz w:val="24"/>
                <w:szCs w:val="24"/>
                <w14:textFill>
                  <w14:solidFill>
                    <w14:schemeClr w14:val="tx1"/>
                  </w14:solidFill>
                </w14:textFill>
              </w:rPr>
              <w:t>推进安康至汉中750千伏线路、陕渝联网互济工程建设，重点实施330千伏紫阳变、石泉变、康渝高铁安康段供电工程及锦屏330千伏第二电源主变扩建工程。</w:t>
            </w:r>
          </w:p>
          <w:p w14:paraId="3F1F5116">
            <w:pPr>
              <w:overflowPunct w:val="0"/>
              <w:topLinePunct/>
              <w:spacing w:line="44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（二）抽水蓄能工程。</w:t>
            </w:r>
            <w:r>
              <w:rPr>
                <w:rFonts w:hint="eastAsia" w:ascii="宋体" w:hAnsi="宋体" w:eastAsia="宋体" w:cs="宋体"/>
                <w:color w:val="000000" w:themeColor="text1"/>
                <w:sz w:val="24"/>
                <w:szCs w:val="24"/>
                <w14:textFill>
                  <w14:solidFill>
                    <w14:schemeClr w14:val="tx1"/>
                  </w14:solidFill>
                </w14:textFill>
              </w:rPr>
              <w:t>推进宁陕北、汉滨抽水蓄能电站建设和旬阳桂花、石泉、白河等抽水蓄能电站项目前期工作。</w:t>
            </w:r>
          </w:p>
          <w:p w14:paraId="04D3E392">
            <w:pPr>
              <w:overflowPunct w:val="0"/>
              <w:topLinePunct/>
              <w:spacing w:line="44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（三）天然气工程。</w:t>
            </w:r>
            <w:r>
              <w:rPr>
                <w:rFonts w:hint="eastAsia" w:ascii="宋体" w:hAnsi="宋体" w:eastAsia="宋体" w:cs="宋体"/>
                <w:color w:val="000000" w:themeColor="text1"/>
                <w:sz w:val="24"/>
                <w:szCs w:val="24"/>
                <w14:textFill>
                  <w14:solidFill>
                    <w14:schemeClr w14:val="tx1"/>
                  </w14:solidFill>
                </w14:textFill>
              </w:rPr>
              <w:t>推进联通陕南地区输气管道前期工作。</w:t>
            </w:r>
          </w:p>
          <w:p w14:paraId="52538925">
            <w:pPr>
              <w:overflowPunct w:val="0"/>
              <w:topLinePunct/>
              <w:spacing w:line="44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（四）页岩气工程。</w:t>
            </w:r>
            <w:r>
              <w:rPr>
                <w:rFonts w:hint="eastAsia" w:ascii="宋体" w:hAnsi="宋体" w:eastAsia="宋体" w:cs="宋体"/>
                <w:color w:val="000000" w:themeColor="text1"/>
                <w:sz w:val="24"/>
                <w:szCs w:val="24"/>
                <w14:textFill>
                  <w14:solidFill>
                    <w14:schemeClr w14:val="tx1"/>
                  </w14:solidFill>
                </w14:textFill>
              </w:rPr>
              <w:t>加快镇坪页岩气产业化开发。</w:t>
            </w:r>
          </w:p>
          <w:p w14:paraId="1025B2C4">
            <w:pPr>
              <w:overflowPunct w:val="0"/>
              <w:topLinePunct/>
              <w:spacing w:after="156" w:afterLines="50" w:line="440" w:lineRule="exact"/>
              <w:ind w:firstLine="480" w:firstLineChars="200"/>
              <w:rPr>
                <w:rFonts w:ascii="Times New Roman" w:hAnsi="Times New Roman" w:eastAsia="宋体" w:cs="Times New Roman"/>
                <w:color w:val="000000" w:themeColor="text1"/>
                <w:sz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（五）可再生能源利用工程。</w:t>
            </w:r>
            <w:r>
              <w:rPr>
                <w:rFonts w:hint="eastAsia" w:ascii="宋体" w:hAnsi="宋体" w:eastAsia="宋体" w:cs="宋体"/>
                <w:color w:val="000000" w:themeColor="text1"/>
                <w:sz w:val="24"/>
                <w:szCs w:val="24"/>
                <w14:textFill>
                  <w14:solidFill>
                    <w14:schemeClr w14:val="tx1"/>
                  </w14:solidFill>
                </w14:textFill>
              </w:rPr>
              <w:t>推进大唐汉滨石梯、陕投汉滨关庙（早阳）、中核汇能白河卡子镇（城关镇）、陕煤汉阴、大唐平利县等10万千瓦和大唐汉滨150MW集中式光伏项目建设。</w:t>
            </w:r>
            <w:r>
              <w:rPr>
                <w:rFonts w:hint="eastAsia" w:ascii="宋体" w:hAnsi="宋体" w:eastAsia="宋体" w:cs="宋体"/>
                <w:color w:val="000000" w:themeColor="text1"/>
                <w:sz w:val="24"/>
                <w14:textFill>
                  <w14:solidFill>
                    <w14:schemeClr w14:val="tx1"/>
                  </w14:solidFill>
                </w14:textFill>
              </w:rPr>
              <w:t>建设</w:t>
            </w:r>
            <w:r>
              <w:rPr>
                <w:rFonts w:hint="eastAsia" w:ascii="Times New Roman" w:hAnsi="Times New Roman" w:eastAsia="宋体" w:cs="Times New Roman"/>
                <w:color w:val="000000" w:themeColor="text1"/>
                <w:sz w:val="24"/>
                <w14:textFill>
                  <w14:solidFill>
                    <w14:schemeClr w14:val="tx1"/>
                  </w14:solidFill>
                </w14:textFill>
              </w:rPr>
              <w:t>安康高新区源网荷储一体化项目。规划布局若干新型储能电站。</w:t>
            </w:r>
          </w:p>
        </w:tc>
      </w:tr>
    </w:tbl>
    <w:p w14:paraId="1C08AB4D">
      <w:pPr>
        <w:pStyle w:val="5"/>
        <w:overflowPunct w:val="0"/>
        <w:topLinePunct/>
        <w:spacing w:before="0" w:beforeLines="0" w:after="0" w:afterLines="0" w:line="574"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37" w:name="_Toc4572"/>
    </w:p>
    <w:p w14:paraId="591B3AB0">
      <w:pPr>
        <w:pStyle w:val="5"/>
        <w:overflowPunct w:val="0"/>
        <w:topLinePunct/>
        <w:spacing w:before="0" w:beforeLines="0" w:after="0" w:afterLines="0"/>
        <w:jc w:val="both"/>
        <w:rPr>
          <w:rFonts w:ascii="仿宋_GB2312" w:hAnsi="仿宋_GB2312" w:eastAsia="仿宋_GB2312" w:cs="仿宋_GB2312"/>
          <w:color w:val="000000" w:themeColor="text1"/>
          <w:sz w:val="144"/>
          <w:szCs w:val="144"/>
          <w14:textFill>
            <w14:solidFill>
              <w14:schemeClr w14:val="tx1"/>
            </w14:solidFill>
          </w14:textFill>
        </w:rPr>
      </w:pPr>
    </w:p>
    <w:p w14:paraId="2C3FEF00"/>
    <w:p w14:paraId="3EBF8156">
      <w:pPr>
        <w:pStyle w:val="5"/>
        <w:overflowPunct w:val="0"/>
        <w:topLinePunct/>
        <w:spacing w:before="156" w:beforeLines="50" w:after="0" w:afterLines="0"/>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第五篇 全面深化改革开放，增强高质量发展</w:t>
      </w:r>
    </w:p>
    <w:p w14:paraId="40C3FFD0">
      <w:pPr>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现代化建设动能</w:t>
      </w:r>
      <w:bookmarkEnd w:id="37"/>
    </w:p>
    <w:p w14:paraId="0E60B136">
      <w:pPr>
        <w:overflowPunct w:val="0"/>
        <w:topLinePunct/>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14:paraId="24EF7F42">
      <w:pPr>
        <w:overflowPunct w:val="0"/>
        <w:topLinePunct/>
        <w:spacing w:line="560" w:lineRule="exact"/>
        <w:ind w:firstLine="640"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聚焦构建高水平社会主义市场经济体制，推进更深层次改革、更宽领域开放，坚决破除阻碍统一大市场建设和公平竞争的卡点堵点，为聚力建设幸福安康增添新动能、开辟新空间</w:t>
      </w:r>
      <w:r>
        <w:rPr>
          <w:rFonts w:hint="eastAsia" w:ascii="仿宋_GB2312" w:hAnsi="方正仿宋_GB2312" w:eastAsia="仿宋_GB2312" w:cs="方正仿宋_GB2312"/>
          <w:color w:val="000000" w:themeColor="text1"/>
          <w:sz w:val="32"/>
          <w:szCs w:val="32"/>
          <w14:textFill>
            <w14:solidFill>
              <w14:schemeClr w14:val="tx1"/>
            </w14:solidFill>
          </w14:textFill>
        </w:rPr>
        <w:t>。</w:t>
      </w:r>
    </w:p>
    <w:p w14:paraId="5DFEC477">
      <w:pPr>
        <w:pStyle w:val="6"/>
        <w:overflowPunct w:val="0"/>
        <w:topLinePunct/>
        <w:spacing w:before="312" w:beforeLines="100" w:after="312" w:afterLines="100"/>
        <w:rPr>
          <w:color w:val="000000" w:themeColor="text1"/>
          <w14:textFill>
            <w14:solidFill>
              <w14:schemeClr w14:val="tx1"/>
            </w14:solidFill>
          </w14:textFill>
        </w:rPr>
      </w:pPr>
      <w:bookmarkStart w:id="38" w:name="_Toc16880"/>
      <w:bookmarkStart w:id="39" w:name="_Toc4024"/>
      <w:bookmarkStart w:id="40" w:name="_Toc29954"/>
      <w:r>
        <w:rPr>
          <w:rFonts w:hint="eastAsia"/>
          <w:color w:val="000000" w:themeColor="text1"/>
          <w14:textFill>
            <w14:solidFill>
              <w14:schemeClr w14:val="tx1"/>
            </w14:solidFill>
          </w14:textFill>
        </w:rPr>
        <w:t>第一章 深化要素市场化配置改革</w:t>
      </w:r>
      <w:bookmarkEnd w:id="38"/>
    </w:p>
    <w:p w14:paraId="3E5C678B">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推动土地要素高效配置。</w:t>
      </w:r>
      <w:r>
        <w:rPr>
          <w:rFonts w:ascii="仿宋_GB2312" w:hAnsi="方正仿宋_GB2312" w:eastAsia="仿宋_GB2312" w:cs="方正仿宋_GB2312"/>
          <w:color w:val="000000" w:themeColor="text1"/>
          <w:spacing w:val="-3"/>
          <w:sz w:val="32"/>
          <w:szCs w:val="32"/>
          <w14:textFill>
            <w14:solidFill>
              <w14:schemeClr w14:val="tx1"/>
            </w14:solidFill>
          </w14:textFill>
        </w:rPr>
        <w:t>健全城乡统一的建设用地市场，稳慎</w:t>
      </w:r>
      <w:r>
        <w:rPr>
          <w:rFonts w:hint="eastAsia" w:ascii="仿宋_GB2312" w:hAnsi="方正仿宋_GB2312" w:eastAsia="仿宋_GB2312" w:cs="方正仿宋_GB2312"/>
          <w:color w:val="000000" w:themeColor="text1"/>
          <w:spacing w:val="-3"/>
          <w:sz w:val="32"/>
          <w:szCs w:val="32"/>
          <w14:textFill>
            <w14:solidFill>
              <w14:schemeClr w14:val="tx1"/>
            </w14:solidFill>
          </w14:textFill>
        </w:rPr>
        <w:t>有序开展城乡建设用地增减挂钩节余指标、补充耕地指标跨区域交易。加强工业用地保障，深入推进“亩均论英雄”综合改革和“标准地”改革，提高土地利用效率和产出效益。健全工业用地绩效评价体系，通过鼓励兼并重组、转让退出等方式，盘活闲置和低效利用的工业用地，</w:t>
      </w:r>
      <w:r>
        <w:rPr>
          <w:rFonts w:ascii="仿宋_GB2312" w:hAnsi="方正仿宋_GB2312" w:eastAsia="仿宋_GB2312" w:cs="方正仿宋_GB2312"/>
          <w:color w:val="000000" w:themeColor="text1"/>
          <w:spacing w:val="-3"/>
          <w:sz w:val="32"/>
          <w:szCs w:val="32"/>
          <w14:textFill>
            <w14:solidFill>
              <w14:schemeClr w14:val="tx1"/>
            </w14:solidFill>
          </w14:textFill>
        </w:rPr>
        <w:t>推进行政事业单位存量国有资产</w:t>
      </w:r>
      <w:r>
        <w:rPr>
          <w:rFonts w:hint="eastAsia" w:ascii="仿宋_GB2312" w:hAnsi="方正仿宋_GB2312" w:eastAsia="仿宋_GB2312" w:cs="方正仿宋_GB2312"/>
          <w:color w:val="000000" w:themeColor="text1"/>
          <w:spacing w:val="-3"/>
          <w:sz w:val="32"/>
          <w:szCs w:val="32"/>
          <w14:textFill>
            <w14:solidFill>
              <w14:schemeClr w14:val="tx1"/>
            </w14:solidFill>
          </w14:textFill>
        </w:rPr>
        <w:t>盘活共享。持续推进城镇低效用地再开发，鼓励对旧厂房、旧街区等实施改造升级，推广城乡融合要素交易市场经验，</w:t>
      </w:r>
      <w:r>
        <w:rPr>
          <w:rFonts w:hint="eastAsia" w:ascii="仿宋_GB2312" w:hAnsi="方正仿宋_GB2312" w:eastAsia="仿宋_GB2312" w:cs="方正仿宋_GB2312"/>
          <w:color w:val="000000" w:themeColor="text1"/>
          <w:spacing w:val="-6"/>
          <w:sz w:val="32"/>
          <w:szCs w:val="32"/>
          <w14:textFill>
            <w14:solidFill>
              <w14:schemeClr w14:val="tx1"/>
            </w14:solidFill>
          </w14:textFill>
        </w:rPr>
        <w:t>实现农村集体土地、闲置农房等资源市场化流转。持续规范农村宅基地</w:t>
      </w:r>
      <w:r>
        <w:rPr>
          <w:rFonts w:ascii="仿宋_GB2312" w:hAnsi="仿宋_GB2312" w:eastAsia="仿宋_GB2312" w:cs="仿宋_GB2312"/>
          <w:color w:val="000000" w:themeColor="text1"/>
          <w:spacing w:val="-6"/>
          <w:kern w:val="0"/>
          <w:sz w:val="32"/>
          <w:szCs w:val="32"/>
          <w14:textFill>
            <w14:solidFill>
              <w14:schemeClr w14:val="tx1"/>
            </w14:solidFill>
          </w14:textFill>
        </w:rPr>
        <w:t>建房审批管理</w:t>
      </w:r>
      <w:r>
        <w:rPr>
          <w:rFonts w:hint="eastAsia" w:ascii="仿宋_GB2312" w:hAnsi="方正仿宋_GB2312" w:eastAsia="仿宋_GB2312" w:cs="方正仿宋_GB2312"/>
          <w:color w:val="000000" w:themeColor="text1"/>
          <w:spacing w:val="-6"/>
          <w:sz w:val="32"/>
          <w:szCs w:val="32"/>
          <w14:textFill>
            <w14:solidFill>
              <w14:schemeClr w14:val="tx1"/>
            </w14:solidFill>
          </w14:textFill>
        </w:rPr>
        <w:t>，深入推进全域土地综合整治，完善城乡建设用地增减挂钩政策。</w:t>
      </w:r>
      <w:r>
        <w:rPr>
          <w:rFonts w:ascii="仿宋_GB2312" w:hAnsi="方正仿宋_GB2312" w:eastAsia="仿宋_GB2312" w:cs="方正仿宋_GB2312"/>
          <w:color w:val="000000" w:themeColor="text1"/>
          <w:spacing w:val="-6"/>
          <w:sz w:val="32"/>
          <w:szCs w:val="32"/>
          <w14:textFill>
            <w14:solidFill>
              <w14:schemeClr w14:val="tx1"/>
            </w14:solidFill>
          </w14:textFill>
        </w:rPr>
        <w:t>协同</w:t>
      </w:r>
      <w:r>
        <w:rPr>
          <w:rFonts w:hint="eastAsia" w:ascii="仿宋_GB2312" w:hAnsi="方正仿宋_GB2312" w:eastAsia="仿宋_GB2312" w:cs="方正仿宋_GB2312"/>
          <w:color w:val="000000" w:themeColor="text1"/>
          <w:spacing w:val="-6"/>
          <w:sz w:val="32"/>
          <w:szCs w:val="32"/>
          <w14:textFill>
            <w14:solidFill>
              <w14:schemeClr w14:val="tx1"/>
            </w14:solidFill>
          </w14:textFill>
        </w:rPr>
        <w:t>推进</w:t>
      </w:r>
      <w:r>
        <w:rPr>
          <w:rFonts w:ascii="仿宋_GB2312" w:hAnsi="方正仿宋_GB2312" w:eastAsia="仿宋_GB2312" w:cs="方正仿宋_GB2312"/>
          <w:color w:val="000000" w:themeColor="text1"/>
          <w:spacing w:val="-6"/>
          <w:sz w:val="32"/>
          <w:szCs w:val="32"/>
          <w14:textFill>
            <w14:solidFill>
              <w14:schemeClr w14:val="tx1"/>
            </w14:solidFill>
          </w14:textFill>
        </w:rPr>
        <w:t>县城国土</w:t>
      </w:r>
      <w:r>
        <w:rPr>
          <w:rFonts w:hint="eastAsia" w:ascii="仿宋_GB2312" w:hAnsi="方正仿宋_GB2312" w:eastAsia="仿宋_GB2312" w:cs="方正仿宋_GB2312"/>
          <w:color w:val="000000" w:themeColor="text1"/>
          <w:spacing w:val="-6"/>
          <w:sz w:val="32"/>
          <w:szCs w:val="32"/>
          <w14:textFill>
            <w14:solidFill>
              <w14:schemeClr w14:val="tx1"/>
            </w14:solidFill>
          </w14:textFill>
        </w:rPr>
        <w:t>空间</w:t>
      </w:r>
      <w:r>
        <w:rPr>
          <w:rFonts w:ascii="仿宋_GB2312" w:hAnsi="方正仿宋_GB2312" w:eastAsia="仿宋_GB2312" w:cs="方正仿宋_GB2312"/>
          <w:color w:val="000000" w:themeColor="text1"/>
          <w:spacing w:val="-6"/>
          <w:sz w:val="32"/>
          <w:szCs w:val="32"/>
          <w14:textFill>
            <w14:solidFill>
              <w14:schemeClr w14:val="tx1"/>
            </w14:solidFill>
          </w14:textFill>
        </w:rPr>
        <w:t>治理，稳步开展全域土地综合整治。</w:t>
      </w:r>
    </w:p>
    <w:p w14:paraId="0A6E8AAB">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推动劳动力要素顺畅流动。</w:t>
      </w:r>
      <w:r>
        <w:rPr>
          <w:rFonts w:hint="eastAsia" w:ascii="仿宋_GB2312" w:hAnsi="方正仿宋_GB2312" w:eastAsia="仿宋_GB2312" w:cs="方正仿宋_GB2312"/>
          <w:color w:val="000000" w:themeColor="text1"/>
          <w:sz w:val="32"/>
          <w:szCs w:val="32"/>
          <w14:textFill>
            <w14:solidFill>
              <w14:schemeClr w14:val="tx1"/>
            </w14:solidFill>
          </w14:textFill>
        </w:rPr>
        <w:t>畅通劳动力要素市场，破除劳动力跨城乡、跨地区、跨部门、跨所有制流动的隐性壁垒，构建统一开放、竞争有序的人力资源市场。完善人才引进和评价激励机制，吸引高层次人才和创新团队来安创新创业，构建多元分类的人才评价体系，提高人才的经济待遇和社会地位。实施积极开放有效的人才政策，围绕区域主导产业，靶向引进高层次和急需紧缺人才，完善“候鸟型”专家、周末工程师等柔性引才机制。加强人才服务保障，推动人才创新创业全周期“一件事”改革，打造“一站式”人才服务平台。</w:t>
      </w:r>
    </w:p>
    <w:p w14:paraId="37906B55">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深化资本要素市场化改革。</w:t>
      </w:r>
      <w:r>
        <w:rPr>
          <w:rFonts w:hint="eastAsia" w:ascii="仿宋_GB2312" w:hAnsi="方正仿宋_GB2312" w:eastAsia="仿宋_GB2312" w:cs="方正仿宋_GB2312"/>
          <w:color w:val="000000" w:themeColor="text1"/>
          <w:sz w:val="32"/>
          <w:szCs w:val="32"/>
          <w14:textFill>
            <w14:solidFill>
              <w14:schemeClr w14:val="tx1"/>
            </w14:solidFill>
          </w14:textFill>
        </w:rPr>
        <w:t>优化金融行业营商环境，大力发展科技金融、养老金融、数字金融，提升投资和融资相协调的资本市场功能。推动金融组织规范发展，创新金融服务模式，丰富金融产品供给，提升金融服务与产业发展的适配性。积极发展普惠金融，用好融资信用服务平台，破解中小微企业融资难题。发挥财政资金撬动作用，引导耐心资本更多流向重点产业链，提升资本要素服务实体经济效能。深化行政事业单位存量国有资产管理体制改革，有效盘活国有“三资”，提高资产利用效率。发挥政府性融资担保体系作用，降低担保费率，分担信贷风险。</w:t>
      </w:r>
    </w:p>
    <w:p w14:paraId="2E2F0178">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推进技术要素市场化配置。</w:t>
      </w:r>
      <w:r>
        <w:rPr>
          <w:rFonts w:hint="eastAsia" w:ascii="仿宋_GB2312" w:hAnsi="方正仿宋_GB2312" w:eastAsia="仿宋_GB2312" w:cs="方正仿宋_GB2312"/>
          <w:color w:val="000000" w:themeColor="text1"/>
          <w:sz w:val="32"/>
          <w:szCs w:val="32"/>
          <w14:textFill>
            <w14:solidFill>
              <w14:schemeClr w14:val="tx1"/>
            </w14:solidFill>
          </w14:textFill>
        </w:rPr>
        <w:t>深度参与高标准技术交易市场体系建设，鼓励依托秦创原创新驱动平台安康分窗口，打造线上线下结合的技术交易服务平台，培育发展技术转移机构和技术转移职业经理人队伍。完善科技成果市场化定价机制，探索实施协议定价、挂牌交易、拍卖、竞争性谈判等多种定价方式，推动技术交易在公开市场进行，形成公允市场价格。促进技术要素与资本要素融合发展，积极探索通过天使投资、创业投资、知识产权证券化、科技保险等方式推动科技成果资本化，支持金融机构采用知识产权质押、应收账款质押等融资方式，为科技成果转化提供金融产品和服务。</w:t>
      </w:r>
    </w:p>
    <w:p w14:paraId="5D704CF7">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推动数据要素融通赋能。</w:t>
      </w:r>
      <w:r>
        <w:rPr>
          <w:rFonts w:hint="eastAsia" w:ascii="仿宋_GB2312" w:hAnsi="方正仿宋_GB2312" w:eastAsia="仿宋_GB2312" w:cs="方正仿宋_GB2312"/>
          <w:color w:val="000000" w:themeColor="text1"/>
          <w:sz w:val="32"/>
          <w:szCs w:val="32"/>
          <w14:textFill>
            <w14:solidFill>
              <w14:schemeClr w14:val="tx1"/>
            </w14:solidFill>
          </w14:textFill>
        </w:rPr>
        <w:t>贯彻落实数据基础制度，协调推进数据资源分级分类管理。推进行业专网整合，推动系统平台集约整合，加快公共数据归集治理与开放共享。推动跨部门、跨层级数据互联互通，制定公共数据开放目录和共享责任清单，优先推动与民生紧密相关、社会需求强烈的数据安全有序开放，畅通社会面使用数据渠道。培育数据要素市场，鼓励行业龙头企业、互联网平台企业探索数据产品和服务交易，提高数据交易效率。加强数据安全技术能力建设，强化数据隐私保护和利用安全审查，完善数据流通交易的风险监测与防控机制，确保数据要素市场化改革在安全可控的前提下稳步推进。</w:t>
      </w:r>
    </w:p>
    <w:p w14:paraId="0862D363">
      <w:pPr>
        <w:pStyle w:val="6"/>
        <w:overflowPunct w:val="0"/>
        <w:topLinePunct/>
        <w:spacing w:before="312" w:beforeLines="100" w:after="312" w:afterLines="100"/>
        <w:rPr>
          <w:color w:val="000000" w:themeColor="text1"/>
          <w14:textFill>
            <w14:solidFill>
              <w14:schemeClr w14:val="tx1"/>
            </w14:solidFill>
          </w14:textFill>
        </w:rPr>
      </w:pPr>
      <w:bookmarkStart w:id="41" w:name="_Toc4588"/>
      <w:bookmarkStart w:id="42" w:name="_Toc10027"/>
      <w:r>
        <w:rPr>
          <w:rFonts w:hint="eastAsia"/>
          <w:color w:val="000000" w:themeColor="text1"/>
          <w14:textFill>
            <w14:solidFill>
              <w14:schemeClr w14:val="tx1"/>
            </w14:solidFill>
          </w14:textFill>
        </w:rPr>
        <w:t>第二章 激发各类经营主体活力</w:t>
      </w:r>
      <w:bookmarkEnd w:id="41"/>
    </w:p>
    <w:p w14:paraId="07CA9766">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深化国资国企改革。</w:t>
      </w:r>
      <w:r>
        <w:rPr>
          <w:rFonts w:hint="eastAsia" w:ascii="仿宋_GB2312" w:hAnsi="方正仿宋_GB2312" w:eastAsia="仿宋_GB2312" w:cs="方正仿宋_GB2312"/>
          <w:color w:val="000000" w:themeColor="text1"/>
          <w:sz w:val="32"/>
          <w:szCs w:val="32"/>
          <w14:textFill>
            <w14:solidFill>
              <w14:schemeClr w14:val="tx1"/>
            </w14:solidFill>
          </w14:textFill>
        </w:rPr>
        <w:t>牢牢把握深化国资国企改革的总目标，坚持和落实“两个毫不动摇”，不断增强国有企业核心功能、提升核心竞争力，推动国有资本和国有企业做强做优做大。深入推进国有经济布局优化和结构调整，推动国有企业向实体化、市场化转型，向培育发展新质生产力、重点产业链建设、重大基础设施建设、公共服务保障等领域布局。深化市场化转型与三项制度改革，强化科技创新投入，优化“一企一策”考核评价和薪酬激励体系，激活国有企业内生动力与发展活力。优化市场化经营机制与国资监管体制，确保国有资产保值增值。</w:t>
      </w:r>
    </w:p>
    <w:p w14:paraId="597E1FAD">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发展壮大民营经济。</w:t>
      </w:r>
      <w:r>
        <w:rPr>
          <w:rFonts w:hint="eastAsia" w:ascii="仿宋_GB2312" w:hAnsi="方正仿宋_GB2312" w:eastAsia="仿宋_GB2312" w:cs="方正仿宋_GB2312"/>
          <w:color w:val="000000" w:themeColor="text1"/>
          <w:sz w:val="32"/>
          <w:szCs w:val="32"/>
          <w14:textFill>
            <w14:solidFill>
              <w14:schemeClr w14:val="tx1"/>
            </w14:solidFill>
          </w14:textFill>
        </w:rPr>
        <w:t>持续破除市场准入壁垒，保障民营企业平等使用生产要素、公平参与市场竞争，依法保护民营企业产权与企业家权益。深化民营经济高质量发展“七大”行动，完善民营企业联系服务、权益维护和惠企政策直达快享机制。引导民营企业加快科技创新与数字化转型，鼓励参与重大战略、重大工程和发展未来产业。鼓励有条件的民营企业建立完善中国特色现代企业制度。弘扬企业家精神，加大新生代民营企业家培养力度，构建亲清政商关系，推动民营经济做大做优做强。</w:t>
      </w:r>
    </w:p>
    <w:p w14:paraId="4D9BB682">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推动大中小企业协同发展。</w:t>
      </w:r>
      <w:r>
        <w:rPr>
          <w:rFonts w:hint="eastAsia" w:ascii="仿宋_GB2312" w:hAnsi="方正仿宋_GB2312" w:eastAsia="仿宋_GB2312" w:cs="方正仿宋_GB2312"/>
          <w:color w:val="000000" w:themeColor="text1"/>
          <w:sz w:val="32"/>
          <w:szCs w:val="32"/>
          <w14:textFill>
            <w14:solidFill>
              <w14:schemeClr w14:val="tx1"/>
            </w14:solidFill>
          </w14:textFill>
        </w:rPr>
        <w:t>实施“微成长、小升高、高壮大”梯次培育计划，发挥大企业特别是产业链龙头企业带动作用，助力中小企业参与重点产业链供应链强链补链，推动大中小企业协同融通发展。健全中小企业融资信用服务体系，畅通多元化融资渠道。完善防范和化解拖欠中小企业账款长效机制，强化产权执法司法保护，保护中小企业合法权益。引导中小企业增强合规意识、加强合规建设、提升合规管理水平，防范生产经营风险。引导企业专注创新、深耕主业，培育更多专精特新“小巨人”企业。</w:t>
      </w:r>
    </w:p>
    <w:p w14:paraId="3D16EEDF">
      <w:pPr>
        <w:pStyle w:val="6"/>
        <w:overflowPunct w:val="0"/>
        <w:topLinePunct/>
        <w:spacing w:before="312" w:beforeLines="100" w:after="312" w:afterLines="100"/>
        <w:rPr>
          <w:color w:val="000000" w:themeColor="text1"/>
          <w14:textFill>
            <w14:solidFill>
              <w14:schemeClr w14:val="tx1"/>
            </w14:solidFill>
          </w14:textFill>
        </w:rPr>
      </w:pPr>
      <w:bookmarkStart w:id="43" w:name="_Toc28285"/>
      <w:r>
        <w:rPr>
          <w:rFonts w:hint="eastAsia"/>
          <w:color w:val="000000" w:themeColor="text1"/>
          <w14:textFill>
            <w14:solidFill>
              <w14:schemeClr w14:val="tx1"/>
            </w14:solidFill>
          </w14:textFill>
        </w:rPr>
        <w:t>第三章 持续打造一流营商环境</w:t>
      </w:r>
      <w:bookmarkEnd w:id="42"/>
      <w:bookmarkEnd w:id="43"/>
    </w:p>
    <w:p w14:paraId="5D8601CE">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加快融入全国统一大市场。</w:t>
      </w:r>
      <w:r>
        <w:rPr>
          <w:rFonts w:hint="eastAsia" w:ascii="仿宋_GB2312" w:hAnsi="方正仿宋_GB2312" w:eastAsia="仿宋_GB2312" w:cs="方正仿宋_GB2312"/>
          <w:color w:val="000000" w:themeColor="text1"/>
          <w:sz w:val="32"/>
          <w:szCs w:val="32"/>
          <w14:textFill>
            <w14:solidFill>
              <w14:schemeClr w14:val="tx1"/>
            </w14:solidFill>
          </w14:textFill>
        </w:rPr>
        <w:t>严格落实产权保护、市场准入、信息披露、社会信用、兼并重组、市场退出等制度，消除要素获取、资质认定、招标投标、政府采购等方面壁垒，规范地方政府经济促进行为，破除地方保护和市场分割。推进市场设施高标准联通，完善市场信息共享交换渠道，积极融入公共资源交易“全省一网”平台。推进市场监管公平统一，完善市场监管秩序，加强市场监管标准化、规范化建设。规范不正当市场竞争和市场干预行为，综合整治“内卷式”竞争，规范招商引资、税收优惠、政府补贴等重点领域政策措施，防范垄断和不正当竞争风险。</w:t>
      </w:r>
    </w:p>
    <w:p w14:paraId="589C3F9F">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持续聚力招商引资。</w:t>
      </w:r>
      <w:r>
        <w:rPr>
          <w:rFonts w:hint="eastAsia" w:ascii="仿宋_GB2312" w:hAnsi="方正仿宋_GB2312" w:eastAsia="仿宋_GB2312" w:cs="方正仿宋_GB2312"/>
          <w:color w:val="000000" w:themeColor="text1"/>
          <w:sz w:val="32"/>
          <w:szCs w:val="32"/>
          <w14:textFill>
            <w14:solidFill>
              <w14:schemeClr w14:val="tx1"/>
            </w14:solidFill>
          </w14:textFill>
        </w:rPr>
        <w:t>实施招商引资创新发展工程，加强重大招商线索市级统筹，常态化开展产业链头部企业走访对接、叩门招商，着力引进延链补链强链的高质量项目。发挥党政主要领导在招商引资中的关键作用，主动对接企业，引进优质项目。发挥部门各自优势，加大联合招商工作力度，做好全方位要素保障和服务。持续开展产业链精准招商，探索开展资本招商、科技招商、平台招商、场景招商和资源招商，继续拓展驻外招商、以商招商，推动落地一批优质项目，为高质量发展注入强劲动能。深化招商体制机制改革，创新联动招商机制，打造高素质专业化招商队伍，完善重大项目招引决策，健全招商项目跨区域落地利益分享机制，</w:t>
      </w:r>
      <w:r>
        <w:rPr>
          <w:rFonts w:hint="eastAsia" w:ascii="仿宋_GB2312" w:hAnsi="仿宋_GB2312" w:eastAsia="仿宋_GB2312" w:cs="仿宋_GB2312"/>
          <w:color w:val="000000" w:themeColor="text1"/>
          <w:sz w:val="32"/>
          <w:szCs w:val="32"/>
          <w14:textFill>
            <w14:solidFill>
              <w14:schemeClr w14:val="tx1"/>
            </w14:solidFill>
          </w14:textFill>
        </w:rPr>
        <w:t>提升招商项目服务监管能力，打造“归雁经济”“会展招商”等区域特色招商品牌</w:t>
      </w:r>
      <w:r>
        <w:rPr>
          <w:rFonts w:hint="eastAsia" w:ascii="仿宋_GB2312" w:hAnsi="方正仿宋_GB2312" w:eastAsia="仿宋_GB2312" w:cs="方正仿宋_GB2312"/>
          <w:color w:val="000000" w:themeColor="text1"/>
          <w:sz w:val="32"/>
          <w:szCs w:val="32"/>
          <w14:textFill>
            <w14:solidFill>
              <w14:schemeClr w14:val="tx1"/>
            </w14:solidFill>
          </w14:textFill>
        </w:rPr>
        <w:t>。</w:t>
      </w:r>
    </w:p>
    <w:p w14:paraId="1735AFA2">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持续优化营商环境。</w:t>
      </w:r>
      <w:r>
        <w:rPr>
          <w:rFonts w:hint="eastAsia" w:ascii="仿宋_GB2312" w:hAnsi="方正仿宋_GB2312" w:eastAsia="仿宋_GB2312" w:cs="方正仿宋_GB2312"/>
          <w:color w:val="000000" w:themeColor="text1"/>
          <w:sz w:val="32"/>
          <w:szCs w:val="32"/>
          <w14:textFill>
            <w14:solidFill>
              <w14:schemeClr w14:val="tx1"/>
            </w14:solidFill>
          </w14:textFill>
        </w:rPr>
        <w:t>深化营商环境突破年活动，健全跨部门、跨行业、跨领域协同推进机制，持续提升“营商环境最安康”品牌影响力。纵深推进行政审批制度改革，加快政务信息系统整合，深度对接“秦务员”平台，推行更加便捷高效的政务服务模式，推动“高效办成一件事”重点事项落地落细。加强政策取向一致性评估和执行落实的统筹协同，建立涉企政策出台前征求企业意见制度。加强公平竞争审查，整治侵犯知识产权和商业秘密、制售假冒伪劣商品等违法行为，优化破产办理机制，有效解决商业纠纷，规范涉企执法长效机制，防止和纠正违规异地执法、趋利性执法。完善高水平对外开放体制机制，优化外商投资促进和服务体系。用好“12345”热线投诉举报渠道，加强问题线索核实办理，加大破坏营商环境典型案例通报力度。</w:t>
      </w:r>
    </w:p>
    <w:p w14:paraId="381ED63E">
      <w:pPr>
        <w:overflowPunct w:val="0"/>
        <w:topLinePunct/>
        <w:spacing w:line="560" w:lineRule="exact"/>
        <w:rPr>
          <w:rFonts w:ascii="仿宋_GB2312" w:hAnsi="方正仿宋_GB2312" w:eastAsia="仿宋_GB2312" w:cs="方正仿宋_GB2312"/>
          <w:color w:val="000000" w:themeColor="text1"/>
          <w:sz w:val="32"/>
          <w:szCs w:val="32"/>
          <w14:textFill>
            <w14:solidFill>
              <w14:schemeClr w14:val="tx1"/>
            </w14:solidFill>
          </w14:textFill>
        </w:rPr>
      </w:pP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A13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1712AE29">
            <w:pPr>
              <w:overflowPunct w:val="0"/>
              <w:topLinePunct/>
              <w:spacing w:line="56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专栏10 优化营商环境专项行动</w:t>
            </w:r>
          </w:p>
        </w:tc>
      </w:tr>
      <w:tr w14:paraId="7337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5" w:hRule="atLeast"/>
          <w:jc w:val="center"/>
        </w:trPr>
        <w:tc>
          <w:tcPr>
            <w:tcW w:w="5000" w:type="pct"/>
          </w:tcPr>
          <w:p w14:paraId="7C12F07C">
            <w:pPr>
              <w:overflowPunct w:val="0"/>
              <w:topLinePunct/>
              <w:spacing w:before="156" w:beforeLines="50" w:line="440" w:lineRule="exact"/>
              <w:ind w:firstLine="480" w:firstLineChars="200"/>
              <w:contextualSpacing/>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（一）政务服务效能提升行动。</w:t>
            </w:r>
            <w:r>
              <w:rPr>
                <w:rFonts w:hint="eastAsia" w:ascii="宋体" w:hAnsi="宋体" w:eastAsia="宋体" w:cs="宋体"/>
                <w:color w:val="000000" w:themeColor="text1"/>
                <w:sz w:val="24"/>
                <w:szCs w:val="24"/>
                <w14:textFill>
                  <w14:solidFill>
                    <w14:schemeClr w14:val="tx1"/>
                  </w14:solidFill>
                </w14:textFill>
              </w:rPr>
              <w:t>全面推进政府履职和政务运行数字化转型，统筹提升经济运行、市场监管、社会管理、公共服务等领域政务应用系统集约建设、智慧便捷、协同联动水平，省级统建政务服务平台实现在全市部署，高质量推动“高效办成一件事”重点事项落地落细。</w:t>
            </w:r>
          </w:p>
          <w:p w14:paraId="37F7B23B">
            <w:pPr>
              <w:overflowPunct w:val="0"/>
              <w:topLinePunct/>
              <w:spacing w:before="156" w:beforeLines="50" w:line="440" w:lineRule="exact"/>
              <w:ind w:firstLine="480" w:firstLineChars="200"/>
              <w:contextualSpacing/>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（二）金融惠企纾困行动。</w:t>
            </w:r>
            <w:r>
              <w:rPr>
                <w:rFonts w:hint="eastAsia" w:ascii="宋体" w:hAnsi="宋体" w:eastAsia="宋体" w:cs="宋体"/>
                <w:color w:val="000000" w:themeColor="text1"/>
                <w:sz w:val="24"/>
                <w:szCs w:val="24"/>
                <w14:textFill>
                  <w14:solidFill>
                    <w14:schemeClr w14:val="tx1"/>
                  </w14:solidFill>
                </w14:textFill>
              </w:rPr>
              <w:t>加大民营企业首贷、续贷、信用贷支持力度，开展知识产权质押贷款与其他实物资产相结合的混合质（抵）押贷款业务，实施“十行千亿惠万企”融资专项行动，每年民营企业贷款余额保持正增长。</w:t>
            </w:r>
          </w:p>
          <w:p w14:paraId="5205D197">
            <w:pPr>
              <w:overflowPunct w:val="0"/>
              <w:topLinePunct/>
              <w:spacing w:before="156" w:beforeLines="50" w:line="440" w:lineRule="exact"/>
              <w:ind w:firstLine="480" w:firstLineChars="200"/>
              <w:contextualSpacing/>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（三）营商品牌打造行动。</w:t>
            </w:r>
            <w:r>
              <w:rPr>
                <w:rFonts w:hint="eastAsia" w:ascii="宋体" w:hAnsi="宋体" w:eastAsia="宋体" w:cs="宋体"/>
                <w:color w:val="000000" w:themeColor="text1"/>
                <w:sz w:val="24"/>
                <w:szCs w:val="24"/>
                <w14:textFill>
                  <w14:solidFill>
                    <w14:schemeClr w14:val="tx1"/>
                  </w14:solidFill>
                </w14:textFill>
              </w:rPr>
              <w:t>持续打造“营商环境最安康”品牌，积极组织有条件的县（市、区）争创全省营商环境创新示范区。</w:t>
            </w:r>
          </w:p>
          <w:p w14:paraId="0CD6C42A">
            <w:pPr>
              <w:overflowPunct w:val="0"/>
              <w:topLinePunct/>
              <w:spacing w:after="156" w:afterLines="50" w:line="440" w:lineRule="exact"/>
              <w:ind w:firstLine="480" w:firstLineChars="200"/>
              <w:contextualSpacing/>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（四）改革创新示范行动。</w:t>
            </w:r>
            <w:r>
              <w:rPr>
                <w:rFonts w:hint="eastAsia" w:ascii="宋体" w:hAnsi="宋体" w:eastAsia="宋体" w:cs="宋体"/>
                <w:color w:val="000000" w:themeColor="text1"/>
                <w:sz w:val="24"/>
                <w:szCs w:val="24"/>
                <w14:textFill>
                  <w14:solidFill>
                    <w14:schemeClr w14:val="tx1"/>
                  </w14:solidFill>
                </w14:textFill>
              </w:rPr>
              <w:t>深入推进营商环境“小切口”改革，围绕营商环境重点领域，推出10项以上的“小切口”改革创新事项。</w:t>
            </w:r>
          </w:p>
        </w:tc>
      </w:tr>
    </w:tbl>
    <w:p w14:paraId="6E3C4759">
      <w:pPr>
        <w:pStyle w:val="6"/>
        <w:overflowPunct w:val="0"/>
        <w:topLinePunct/>
        <w:spacing w:before="312" w:beforeLines="100" w:after="312" w:afterLines="100"/>
        <w:jc w:val="center"/>
        <w:rPr>
          <w:color w:val="000000" w:themeColor="text1"/>
          <w14:textFill>
            <w14:solidFill>
              <w14:schemeClr w14:val="tx1"/>
            </w14:solidFill>
          </w14:textFill>
        </w:rPr>
      </w:pPr>
      <w:bookmarkStart w:id="44" w:name="_Toc27566"/>
      <w:r>
        <w:rPr>
          <w:rFonts w:hint="eastAsia"/>
          <w:color w:val="000000" w:themeColor="text1"/>
          <w14:textFill>
            <w14:solidFill>
              <w14:schemeClr w14:val="tx1"/>
            </w14:solidFill>
          </w14:textFill>
        </w:rPr>
        <w:t xml:space="preserve">第四章 </w:t>
      </w:r>
      <w:bookmarkEnd w:id="39"/>
      <w:bookmarkEnd w:id="40"/>
      <w:r>
        <w:rPr>
          <w:rFonts w:hint="eastAsia"/>
          <w:color w:val="000000" w:themeColor="text1"/>
          <w14:textFill>
            <w14:solidFill>
              <w14:schemeClr w14:val="tx1"/>
            </w14:solidFill>
          </w14:textFill>
        </w:rPr>
        <w:t>建设高水平开放通道枢纽</w:t>
      </w:r>
      <w:bookmarkEnd w:id="44"/>
    </w:p>
    <w:p w14:paraId="3255682B">
      <w:pPr>
        <w:pStyle w:val="27"/>
        <w:spacing w:line="560" w:lineRule="exact"/>
        <w:ind w:firstLine="643" w:firstLineChars="200"/>
        <w:jc w:val="both"/>
        <w:rPr>
          <w:rFonts w:hint="default" w:ascii="仿宋_GB2312" w:hAnsi="仿宋_GB2312" w:eastAsia="仿宋_GB2312" w:cs="仿宋_GB2312"/>
          <w:color w:val="000000" w:themeColor="text1"/>
          <w:sz w:val="32"/>
          <w:szCs w:val="32"/>
          <w14:textFill>
            <w14:solidFill>
              <w14:schemeClr w14:val="tx1"/>
            </w14:solidFill>
          </w14:textFill>
        </w:rPr>
      </w:pPr>
      <w:r>
        <w:rPr>
          <w:rFonts w:ascii="楷体_GB2312" w:hAnsi="楷体_GB2312" w:eastAsia="楷体_GB2312" w:cs="楷体_GB2312"/>
          <w:b/>
          <w:bCs/>
          <w:color w:val="000000" w:themeColor="text1"/>
          <w:sz w:val="32"/>
          <w:szCs w:val="32"/>
          <w14:textFill>
            <w14:solidFill>
              <w14:schemeClr w14:val="tx1"/>
            </w14:solidFill>
          </w14:textFill>
        </w:rPr>
        <w:t>深度融入西部陆海新通道。</w:t>
      </w:r>
      <w:r>
        <w:rPr>
          <w:rFonts w:ascii="仿宋_GB2312" w:hAnsi="仿宋_GB2312" w:eastAsia="仿宋_GB2312" w:cs="仿宋_GB2312"/>
          <w:color w:val="000000" w:themeColor="text1"/>
          <w:sz w:val="32"/>
          <w:szCs w:val="32"/>
          <w14:textFill>
            <w14:solidFill>
              <w14:schemeClr w14:val="tx1"/>
            </w14:solidFill>
          </w14:textFill>
        </w:rPr>
        <w:t>依托西康铁路，连接西部陆海新通道，争取开通“安康东站-安康码头-重庆果园港/武汉阳逻港”固定联运班线，谋划开行“安康</w:t>
      </w:r>
      <w:r>
        <w:rPr>
          <w:rFonts w:ascii="仿宋_GB2312" w:hAnsi="方正仿宋_GB2312" w:eastAsia="仿宋_GB2312" w:cs="方正仿宋_GB2312"/>
          <w:snapToGrid w:val="0"/>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钦州港”直达测试班列，力争实现常态化运营，打造3天出海快线。依托安康“无水港”，协同西部陆海新通道等国家枢纽和周边地区枢纽，加强干线运输和多式联运协作，推动通道网络降本增效。推进西部陆海新通道与中欧班列在安有效衔接，扩大与“一带一路”国家出口贸易规模，加快拓展国际市场。统筹通道沿线资源禀赋优势，加强与沿线国家和国内省市合作，构建资源共享、优势互补的发展共同体，打造西部陆海新通道西北内陆枢纽重要节点城市。</w:t>
      </w:r>
    </w:p>
    <w:p w14:paraId="22672299">
      <w:pPr>
        <w:pStyle w:val="27"/>
        <w:spacing w:line="560" w:lineRule="exact"/>
        <w:ind w:firstLine="643" w:firstLineChars="200"/>
        <w:rPr>
          <w:rFonts w:hint="default" w:ascii="仿宋_GB2312" w:hAnsi="方正仿宋_GB2312" w:eastAsia="仿宋_GB2312" w:cs="方正仿宋_GB2312"/>
          <w:color w:val="000000" w:themeColor="text1"/>
          <w:sz w:val="32"/>
          <w:szCs w:val="32"/>
          <w14:textFill>
            <w14:solidFill>
              <w14:schemeClr w14:val="tx1"/>
            </w14:solidFill>
          </w14:textFill>
        </w:rPr>
      </w:pPr>
      <w:r>
        <w:rPr>
          <w:rFonts w:ascii="楷体_GB2312" w:hAnsi="楷体_GB2312" w:eastAsia="楷体_GB2312" w:cs="楷体_GB2312"/>
          <w:b/>
          <w:bCs/>
          <w:color w:val="000000" w:themeColor="text1"/>
          <w:sz w:val="32"/>
          <w:szCs w:val="32"/>
          <w14:textFill>
            <w14:solidFill>
              <w14:schemeClr w14:val="tx1"/>
            </w14:solidFill>
          </w14:textFill>
        </w:rPr>
        <w:t>加快建设现代物流枢纽</w:t>
      </w:r>
      <w:r>
        <w:rPr>
          <w:rFonts w:ascii="仿宋_GB2312" w:hAnsi="方正仿宋_GB2312" w:eastAsia="仿宋_GB2312" w:cs="方正仿宋_GB2312"/>
          <w:color w:val="000000" w:themeColor="text1"/>
          <w:sz w:val="32"/>
          <w:szCs w:val="32"/>
          <w14:textFill>
            <w14:solidFill>
              <w14:schemeClr w14:val="tx1"/>
            </w14:solidFill>
          </w14:textFill>
        </w:rPr>
        <w:t>。加快综合物流枢纽建设，全力推进秦巴（安康）现代物流港项目，促进物流要素规模集聚。改善物流交通基础设施建设，完善城市配送节点网络，优化城乡三级物流配送体系。积极推广多式联运模式，扎实推进货运铁路支线+西安铁路集换站建设，推动大宗货物运输“公转铁、公转水”，持续完善公铁水空联运体系，降低全社会物流成本。引进和培育物流运营龙头企业，支持本地物流企业拓展网络布局，加强物流产业信息化建设，引进物流专业人才，提升物流业整体竞争力。延伸现代物流产业链条，推动现代物流业与其他产业联动发展、有机融合。加快现代物流体系扩容升级，稳步发展航空物流产业，大力发展冷链物流、智慧物流，加快农村寄递物流建设，创新物流新业态新模式发展。</w:t>
      </w:r>
    </w:p>
    <w:p w14:paraId="7B848D04">
      <w:pPr>
        <w:pStyle w:val="13"/>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cs="楷体_GB2312"/>
          <w:b/>
          <w:bCs/>
          <w:color w:val="000000" w:themeColor="text1"/>
          <w:sz w:val="32"/>
          <w:szCs w:val="32"/>
          <w14:textFill>
            <w14:solidFill>
              <w14:schemeClr w14:val="tx1"/>
            </w14:solidFill>
          </w14:textFill>
        </w:rPr>
        <w:t>大力发展枢纽经济。</w:t>
      </w:r>
      <w:r>
        <w:rPr>
          <w:rFonts w:hint="eastAsia" w:ascii="仿宋_GB2312" w:hAnsi="方正仿宋_GB2312" w:eastAsia="仿宋_GB2312" w:cs="方正仿宋_GB2312"/>
          <w:color w:val="000000" w:themeColor="text1"/>
          <w:sz w:val="32"/>
          <w:szCs w:val="32"/>
          <w14:textFill>
            <w14:solidFill>
              <w14:schemeClr w14:val="tx1"/>
            </w14:solidFill>
          </w14:textFill>
        </w:rPr>
        <w:t>统筹交通网络设施建设，打造立体互联、交旅融合、物流畅达、资源节约的绿色交通枢纽，促进交通枢纽和枢纽产业融合发展。利用机场、铁路、公路、码头等客运枢纽场站，构建交旅融合商务综合体，推动枢纽流量转化为枢纽经济。积极打造枢纽偏好型产业集群，强化安康西综合客运枢纽与汉滨经济技术开发区、安康高新区产业集群有效联动，引导和推动商贸金融、创新服务、文化创意、技术咨询等产业聚集，实现枢纽产业联动发展。推动跨省市毗邻地区枢纽节点高效互联，打造枢纽群经济发展联盟，拓展枢纽经济辐射联动空间，培育枢纽经济新的增长极。</w:t>
      </w:r>
    </w:p>
    <w:p w14:paraId="2BC7E215">
      <w:pPr>
        <w:pStyle w:val="6"/>
        <w:overflowPunct w:val="0"/>
        <w:topLinePunct/>
        <w:spacing w:before="312" w:beforeLines="100" w:after="312" w:afterLines="100"/>
        <w:rPr>
          <w:color w:val="000000" w:themeColor="text1"/>
          <w14:textFill>
            <w14:solidFill>
              <w14:schemeClr w14:val="tx1"/>
            </w14:solidFill>
          </w14:textFill>
        </w:rPr>
      </w:pPr>
      <w:bookmarkStart w:id="45" w:name="_Toc10520"/>
      <w:bookmarkStart w:id="46" w:name="_Toc4635"/>
      <w:bookmarkStart w:id="47" w:name="_Toc1120"/>
      <w:r>
        <w:rPr>
          <w:rFonts w:hint="eastAsia"/>
          <w:color w:val="000000" w:themeColor="text1"/>
          <w14:textFill>
            <w14:solidFill>
              <w14:schemeClr w14:val="tx1"/>
            </w14:solidFill>
          </w14:textFill>
        </w:rPr>
        <w:t xml:space="preserve">第五章 </w:t>
      </w:r>
      <w:bookmarkEnd w:id="45"/>
      <w:r>
        <w:rPr>
          <w:rFonts w:hint="eastAsia"/>
          <w:color w:val="000000" w:themeColor="text1"/>
          <w14:textFill>
            <w14:solidFill>
              <w14:schemeClr w14:val="tx1"/>
            </w14:solidFill>
          </w14:textFill>
        </w:rPr>
        <w:t>打造高能级开放平台</w:t>
      </w:r>
      <w:bookmarkEnd w:id="46"/>
    </w:p>
    <w:p w14:paraId="1DA31E2B">
      <w:pPr>
        <w:pStyle w:val="13"/>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cs="楷体_GB2312"/>
          <w:b/>
          <w:bCs/>
          <w:color w:val="000000" w:themeColor="text1"/>
          <w:sz w:val="32"/>
          <w:szCs w:val="32"/>
          <w14:textFill>
            <w14:solidFill>
              <w14:schemeClr w14:val="tx1"/>
            </w14:solidFill>
          </w14:textFill>
        </w:rPr>
        <w:t>建好开放合作平台。</w:t>
      </w:r>
      <w:r>
        <w:rPr>
          <w:rFonts w:hint="eastAsia" w:ascii="仿宋_GB2312" w:hAnsi="方正仿宋_GB2312" w:eastAsia="仿宋_GB2312" w:cs="方正仿宋_GB2312"/>
          <w:color w:val="000000" w:themeColor="text1"/>
          <w:sz w:val="32"/>
          <w:szCs w:val="32"/>
          <w14:textFill>
            <w14:solidFill>
              <w14:schemeClr w14:val="tx1"/>
            </w14:solidFill>
          </w14:textFill>
        </w:rPr>
        <w:t>积极与“一带一路”国家、友好城市构建双边合作机制，定期开展经贸对话，推动签署双边合作备忘录，开展多层次全方位深度合作。拓展“三港四中心”功能，加快县（市）“无水港”分中心建设，对接融入西安</w:t>
      </w:r>
      <w:r>
        <w:rPr>
          <w:rFonts w:hint="eastAsia" w:ascii="仿宋" w:hAnsi="仿宋" w:eastAsia="仿宋" w:cs="宋体"/>
          <w:color w:val="000000" w:themeColor="text1"/>
          <w:sz w:val="32"/>
          <w:szCs w:val="32"/>
          <w14:textFill>
            <w14:solidFill>
              <w14:schemeClr w14:val="tx1"/>
            </w14:solidFill>
          </w14:textFill>
        </w:rPr>
        <w:t>浐</w:t>
      </w:r>
      <w:r>
        <w:rPr>
          <w:rFonts w:hint="eastAsia" w:ascii="仿宋" w:hAnsi="仿宋" w:eastAsia="仿宋" w:cs="仿宋_GB2312"/>
          <w:color w:val="000000" w:themeColor="text1"/>
          <w:sz w:val="32"/>
          <w:szCs w:val="32"/>
          <w14:textFill>
            <w14:solidFill>
              <w14:schemeClr w14:val="tx1"/>
            </w14:solidFill>
          </w14:textFill>
        </w:rPr>
        <w:t>灞</w:t>
      </w:r>
      <w:r>
        <w:rPr>
          <w:rFonts w:hint="eastAsia" w:ascii="仿宋_GB2312" w:hAnsi="方正仿宋_GB2312" w:eastAsia="仿宋_GB2312" w:cs="方正仿宋_GB2312"/>
          <w:color w:val="000000" w:themeColor="text1"/>
          <w:sz w:val="32"/>
          <w:szCs w:val="32"/>
          <w14:textFill>
            <w14:solidFill>
              <w14:schemeClr w14:val="tx1"/>
            </w14:solidFill>
          </w14:textFill>
        </w:rPr>
        <w:t>国际港。争取设立海关机构，争创安康保税物流中心（B型）和中国（安康）跨境电子商务综合试验区，深化陕西自贸试验区安康高新区协同创新区建设，全面升级拓展“海外仓”，打造“秦巴优品”出海供应链基地。提升中欧班列西安集结中心安康分中心、西部陆海新通道安康集结分中心运力能级，稳定开行安康-重庆-东盟铁海联运班列，争取开行往返武汉枢纽的铁水联运班列，打通高效便捷出海通道。开拓新兴国家市场，巩固美欧、日韩、东盟等传统市场，拓展非洲新兴市场。</w:t>
      </w:r>
    </w:p>
    <w:p w14:paraId="702E3DF2">
      <w:pPr>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优化口岸发展布局。</w:t>
      </w:r>
      <w:r>
        <w:rPr>
          <w:rFonts w:hint="eastAsia" w:ascii="仿宋_GB2312" w:hAnsi="仿宋_GB2312" w:eastAsia="仿宋_GB2312" w:cs="仿宋_GB2312"/>
          <w:color w:val="000000" w:themeColor="text1"/>
          <w:sz w:val="32"/>
          <w:szCs w:val="32"/>
          <w14:textFill>
            <w14:solidFill>
              <w14:schemeClr w14:val="tx1"/>
            </w14:solidFill>
          </w14:textFill>
        </w:rPr>
        <w:t>谋划建立安康铁路口岸，加强与中欧班列西安集结中心合作，持续扩大中欧班列在安始发到达班次。加快航空口岸建设，增设安康国际货运航线，提升航空口岸国际通达性。以安康水运口岸为主体，发展铁水、空水、陆水联运，打造陕西水运口岸向南开放中心。积极争取设立进境水果、冰鲜水产品等指定监管场地（口岸），拓展特色商品进口业务，利用口岸集散优势，强化进出口贸易物流辐射功能。加快智慧口岸建设，推动国际贸易“单一窗口”功能向国际贸易管理全链条延伸，推进口岸信息化服务整合，实现报关、退税、结汇等业务全流程线上办理。优化口岸监管通关机制，全面推进属地查检与核查执法联动，持续提升查检效能。</w:t>
      </w:r>
    </w:p>
    <w:p w14:paraId="6DDEDE16">
      <w:pPr>
        <w:pStyle w:val="13"/>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ascii="楷体_GB2312" w:hAnsi="楷体_GB2312" w:cs="楷体_GB2312"/>
          <w:b/>
          <w:bCs/>
          <w:color w:val="000000" w:themeColor="text1"/>
          <w:sz w:val="32"/>
          <w:szCs w:val="32"/>
          <w14:textFill>
            <w14:solidFill>
              <w14:schemeClr w14:val="tx1"/>
            </w14:solidFill>
          </w14:textFill>
        </w:rPr>
        <w:t>提升外向经济水平。</w:t>
      </w:r>
      <w:r>
        <w:rPr>
          <w:rFonts w:hint="eastAsia" w:ascii="仿宋_GB2312" w:hAnsi="方正仿宋_GB2312" w:eastAsia="仿宋_GB2312" w:cs="方正仿宋_GB2312"/>
          <w:color w:val="000000" w:themeColor="text1"/>
          <w:sz w:val="32"/>
          <w:szCs w:val="32"/>
          <w14:textFill>
            <w14:solidFill>
              <w14:schemeClr w14:val="tx1"/>
            </w14:solidFill>
          </w14:textFill>
        </w:rPr>
        <w:t>实施重点产业外向度提升工程，加强外向型经营主体培育。鼓励境外投资者来安投资，创新外资利用方式，注重引资与引技相结合，拓宽本土企业外资使用渠道，壮大利用外资规模。加快培育外贸新业态新模式，支持服务贸易发展，主动对接国际高标准贸易规则规制，扩大全市外贸进出口总量，打造外贸发展新增长点。深入开展国际产业投资合作，有序扩大商品、服务、资本、劳务等市场对外开放，引导优势企业“抱团出海”“借船出海”，共建境外经贸合作园，拓展海外经贸合作网络。积极打造开放安全发展环境，构筑对外开放监管和风险防控体系，加强出口企业合规管理，强化海外投资权益保护，筑牢产业链供应链安全底线，提升开放型经济抗风险能力。</w:t>
      </w:r>
    </w:p>
    <w:p w14:paraId="20B5A7CD">
      <w:pPr>
        <w:pStyle w:val="6"/>
        <w:overflowPunct w:val="0"/>
        <w:topLinePunct/>
        <w:spacing w:before="312" w:beforeLines="100" w:after="312" w:afterLines="100"/>
        <w:rPr>
          <w:color w:val="000000" w:themeColor="text1"/>
          <w14:textFill>
            <w14:solidFill>
              <w14:schemeClr w14:val="tx1"/>
            </w14:solidFill>
          </w14:textFill>
        </w:rPr>
      </w:pPr>
      <w:bookmarkStart w:id="48" w:name="_Toc202"/>
      <w:r>
        <w:rPr>
          <w:rFonts w:hint="eastAsia"/>
          <w:color w:val="000000" w:themeColor="text1"/>
          <w14:textFill>
            <w14:solidFill>
              <w14:schemeClr w14:val="tx1"/>
            </w14:solidFill>
          </w14:textFill>
        </w:rPr>
        <w:t xml:space="preserve">第六章 </w:t>
      </w:r>
      <w:bookmarkEnd w:id="47"/>
      <w:r>
        <w:rPr>
          <w:rFonts w:hint="eastAsia"/>
          <w:color w:val="000000" w:themeColor="text1"/>
          <w14:textFill>
            <w14:solidFill>
              <w14:schemeClr w14:val="tx1"/>
            </w14:solidFill>
          </w14:textFill>
        </w:rPr>
        <w:t>深度融入区域发展格局</w:t>
      </w:r>
      <w:bookmarkEnd w:id="48"/>
    </w:p>
    <w:p w14:paraId="3B794F43">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积极主动融群入圈。</w:t>
      </w:r>
      <w:r>
        <w:rPr>
          <w:rFonts w:hint="eastAsia" w:ascii="仿宋_GB2312" w:hAnsi="方正仿宋_GB2312" w:eastAsia="仿宋_GB2312" w:cs="方正仿宋_GB2312"/>
          <w:color w:val="000000" w:themeColor="text1"/>
          <w:sz w:val="32"/>
          <w:szCs w:val="32"/>
          <w14:textFill>
            <w14:solidFill>
              <w14:schemeClr w14:val="tx1"/>
            </w14:solidFill>
          </w14:textFill>
        </w:rPr>
        <w:t>升级与西安市全方位合作，合力打造综合互联交通网络，促进技术密集型、劳动密集型产业发展，深度融入关中城市群和关天经济圈。加强与陕北在水资源调配、碳汇交易、生态补偿等领域的合作，推动安康生态经济与陕北能源经济互补增效、协同共赢。深化与汉江生态经济带沿线城市协作，充分发挥陕鄂边际开放合作示范效应，协力共建秦巴（汉江）生态经济走廊，</w:t>
      </w:r>
      <w:r>
        <w:rPr>
          <w:rFonts w:hint="eastAsia" w:ascii="仿宋_GB2312" w:hAnsi="仿宋_GB2312" w:eastAsia="仿宋_GB2312" w:cs="仿宋_GB2312"/>
          <w:color w:val="000000" w:themeColor="text1"/>
          <w:sz w:val="32"/>
          <w:szCs w:val="32"/>
          <w14:textFill>
            <w14:solidFill>
              <w14:schemeClr w14:val="tx1"/>
            </w14:solidFill>
          </w14:textFill>
        </w:rPr>
        <w:t>积极</w:t>
      </w:r>
      <w:r>
        <w:rPr>
          <w:rFonts w:ascii="仿宋_GB2312" w:hAnsi="仿宋_GB2312" w:eastAsia="仿宋_GB2312" w:cs="仿宋_GB2312"/>
          <w:color w:val="000000" w:themeColor="text1"/>
          <w:sz w:val="32"/>
          <w:szCs w:val="32"/>
          <w14:textFill>
            <w14:solidFill>
              <w14:schemeClr w14:val="tx1"/>
            </w14:solidFill>
          </w14:textFill>
        </w:rPr>
        <w:t>与</w:t>
      </w:r>
      <w:r>
        <w:rPr>
          <w:rFonts w:hint="eastAsia" w:ascii="仿宋_GB2312" w:hAnsi="仿宋_GB2312" w:eastAsia="仿宋_GB2312" w:cs="仿宋_GB2312"/>
          <w:color w:val="000000" w:themeColor="text1"/>
          <w:sz w:val="32"/>
          <w:szCs w:val="32"/>
          <w14:textFill>
            <w14:solidFill>
              <w14:schemeClr w14:val="tx1"/>
            </w14:solidFill>
          </w14:textFill>
        </w:rPr>
        <w:t>长江</w:t>
      </w:r>
      <w:r>
        <w:rPr>
          <w:rFonts w:ascii="仿宋_GB2312" w:hAnsi="仿宋_GB2312" w:eastAsia="仿宋_GB2312" w:cs="仿宋_GB2312"/>
          <w:color w:val="000000" w:themeColor="text1"/>
          <w:sz w:val="32"/>
          <w:szCs w:val="32"/>
          <w14:textFill>
            <w14:solidFill>
              <w14:schemeClr w14:val="tx1"/>
            </w14:solidFill>
          </w14:textFill>
        </w:rPr>
        <w:t>流域城市开展务实合作</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方正仿宋_GB2312" w:eastAsia="仿宋_GB2312" w:cs="方正仿宋_GB2312"/>
          <w:color w:val="000000" w:themeColor="text1"/>
          <w:sz w:val="32"/>
          <w:szCs w:val="32"/>
          <w14:textFill>
            <w14:solidFill>
              <w14:schemeClr w14:val="tx1"/>
            </w14:solidFill>
          </w14:textFill>
        </w:rPr>
        <w:t>加快融入长江中游城市圈。强化与珠三角地区对接，多层次跟进粤港澳大湾区建设，寻求新的经济合作增长点。主动对接川渝共建边际区域合作示范区，做强“陕煤入渝”通道枢纽；积极探索共建智能制造飞地园区，推动产业错位互补与集群化发展。</w:t>
      </w:r>
    </w:p>
    <w:p w14:paraId="022C1482">
      <w:pPr>
        <w:pStyle w:val="26"/>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拓展区域协作帮扶深度。</w:t>
      </w:r>
      <w:r>
        <w:rPr>
          <w:rFonts w:hint="eastAsia" w:ascii="仿宋_GB2312" w:hAnsi="方正仿宋_GB2312" w:eastAsia="仿宋_GB2312" w:cs="方正仿宋_GB2312"/>
          <w:color w:val="000000" w:themeColor="text1"/>
          <w:sz w:val="32"/>
          <w:szCs w:val="32"/>
          <w14:textFill>
            <w14:solidFill>
              <w14:schemeClr w14:val="tx1"/>
            </w14:solidFill>
          </w14:textFill>
        </w:rPr>
        <w:t>以苏陕、津陕对口协作与经济合作为纽带，深化拓展合作深度广度，加快产业链供应链协同联动，精准对接协作地区产业转移需求和安康承接基础条件，着力引进一批科技含量高、带动能力强、发展前景好的产业项目。创新与天津受水区对口协作，密切对接京津冀协同发展，强化协作双方资金、技术、人才、市场等资源要素高效对接，推动创新链、技术链、产业链、人才链有效衔接，提升协作帮扶质效。整合省内协作帮扶资源，加强与省内生态功能区联动，共建秦巴汉江生态保护协作机制，在技术转化、产业合作、文旅康养、公共服务、生态环保、碳汇交易、人才交流等领域加强合作，打造省内区域帮扶新样板。</w:t>
      </w:r>
    </w:p>
    <w:p w14:paraId="2907A16D">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承接国家战略产业转移。</w:t>
      </w:r>
      <w:r>
        <w:rPr>
          <w:rFonts w:hint="eastAsia" w:ascii="仿宋_GB2312" w:hAnsi="方正仿宋_GB2312" w:eastAsia="仿宋_GB2312" w:cs="方正仿宋_GB2312"/>
          <w:color w:val="000000" w:themeColor="text1"/>
          <w:sz w:val="32"/>
          <w:szCs w:val="32"/>
          <w14:textFill>
            <w14:solidFill>
              <w14:schemeClr w14:val="tx1"/>
            </w14:solidFill>
          </w14:textFill>
        </w:rPr>
        <w:t>强化重点产业链精准招商，引进头部企业和关键配套项目，培育壮大产业转移承接平台，全面提升产业转移承接实力。抢抓国家构建新发展格局和优化区域产业布局战略机遇，充分发挥安康连接关中、贯通长江、辐射成渝区位优势，强化基础设施衔接与要素高效配置，深化劳动密集型产业承接、拓展特色制造业承接、积极承接新兴产业转移。围绕关联性强、契合度高的富硒食品、装备制造、新材料、生物医药等产业项目开展深度合作，建设产业转移示范园区，培育产业链核心企业，打造中东部地区产业转移重要承载区。</w:t>
      </w:r>
    </w:p>
    <w:p w14:paraId="3CEED75C">
      <w:pPr>
        <w:pStyle w:val="5"/>
        <w:overflowPunct w:val="0"/>
        <w:topLinePunct/>
        <w:spacing w:before="312" w:after="312"/>
        <w:rPr>
          <w:rFonts w:ascii="仿宋_GB2312" w:hAnsi="方正仿宋_GB2312" w:eastAsia="仿宋_GB2312" w:cs="方正仿宋_GB2312"/>
          <w:color w:val="000000" w:themeColor="text1"/>
          <w:szCs w:val="32"/>
          <w14:textFill>
            <w14:solidFill>
              <w14:schemeClr w14:val="tx1"/>
            </w14:solidFill>
          </w14:textFill>
        </w:rPr>
      </w:pPr>
    </w:p>
    <w:bookmarkEnd w:id="30"/>
    <w:bookmarkEnd w:id="31"/>
    <w:p w14:paraId="5D6ADD6A">
      <w:pPr>
        <w:pStyle w:val="5"/>
        <w:overflowPunct w:val="0"/>
        <w:topLinePunct/>
        <w:spacing w:before="312" w:after="0" w:afterLines="0"/>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49" w:name="_Toc6923"/>
      <w:bookmarkStart w:id="50" w:name="_Toc9564"/>
      <w:bookmarkStart w:id="51" w:name="_Toc21209"/>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第六篇 高效统筹城乡融合发展，加快推进新型城镇化和乡村全面振兴</w:t>
      </w:r>
      <w:bookmarkEnd w:id="49"/>
    </w:p>
    <w:p w14:paraId="15339BCC">
      <w:pPr>
        <w:overflowPunct w:val="0"/>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14:paraId="4FD4E795">
      <w:pPr>
        <w:overflowPunct w:val="0"/>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坚持农业农村优先发展，推进城市内涵式发展，加快构建工农互促、城乡互补、协调联动、共同繁荣的新型城乡关系，推动新型城镇化与乡村全面振兴协同共进。</w:t>
      </w:r>
    </w:p>
    <w:p w14:paraId="3DF8AE02">
      <w:pPr>
        <w:pStyle w:val="6"/>
        <w:overflowPunct w:val="0"/>
        <w:topLinePunct/>
        <w:spacing w:before="312" w:beforeLines="100" w:after="312" w:afterLines="100"/>
        <w:rPr>
          <w:rFonts w:ascii="楷体_GB2312" w:hAnsi="楷体_GB2312" w:eastAsia="楷体_GB2312" w:cs="楷体_GB2312"/>
          <w:b/>
          <w:bCs/>
          <w:snapToGrid w:val="0"/>
          <w:color w:val="000000" w:themeColor="text1"/>
          <w:kern w:val="0"/>
          <w14:textFill>
            <w14:solidFill>
              <w14:schemeClr w14:val="tx1"/>
            </w14:solidFill>
          </w14:textFill>
        </w:rPr>
      </w:pPr>
      <w:bookmarkStart w:id="52" w:name="_Toc13512"/>
      <w:r>
        <w:rPr>
          <w:rFonts w:hint="eastAsia"/>
          <w:color w:val="000000" w:themeColor="text1"/>
          <w14:textFill>
            <w14:solidFill>
              <w14:schemeClr w14:val="tx1"/>
            </w14:solidFill>
          </w14:textFill>
        </w:rPr>
        <w:t>第一章 守牢粮食安全和防止返贫致贫底线</w:t>
      </w:r>
      <w:bookmarkEnd w:id="52"/>
    </w:p>
    <w:p w14:paraId="77EFB581">
      <w:pPr>
        <w:pStyle w:val="15"/>
        <w:spacing w:line="560" w:lineRule="exact"/>
        <w:ind w:firstLine="643"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守牢粮食安全底线。</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落实最严格耕地保护制度，严守耕地红线，严格占补平衡管理，健全耕地数量、质量、生态“三位一体”保护体系。着力提升大面积单产水平，加强农田水利设施建设，提升高标准农田建设管护和农机化水平。健全种粮农民收益保障机制，完善价格、补贴、保险“三位一体”的政策体系，稳定农民预期。持续在生产、储存、运输、加工、消费等各个环节强化管理，推广智能化收割、科学储粮、适度加工等技术，最大限度减少损失浪费。</w:t>
      </w:r>
      <w:r>
        <w:rPr>
          <w:rFonts w:hint="eastAsia" w:ascii="仿宋_GB2312" w:hAnsi="仿宋_GB2312" w:eastAsia="仿宋_GB2312" w:cs="仿宋_GB2312"/>
          <w:color w:val="000000" w:themeColor="text1"/>
          <w:sz w:val="32"/>
          <w:szCs w:val="32"/>
          <w14:textFill>
            <w14:solidFill>
              <w14:schemeClr w14:val="tx1"/>
            </w14:solidFill>
          </w14:textFill>
        </w:rPr>
        <w:t>稳定粮食播种面积331万亩，统筹发展科技农业、绿色农业、质量农业、品牌农业，推进农产品质量安全可追溯，提升粮食生产质量效益。</w:t>
      </w:r>
    </w:p>
    <w:p w14:paraId="204176C2">
      <w:pPr>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守住防返贫底线。</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完善常态化帮扶政策体系，推动各类资源向基层延伸、向农村覆盖、向重点群体倾斜，落实好住房、饮水、教育、医疗、社会兜底等基础设施建设和公共服务保障，持续巩固拓展脱贫攻坚成果，全面压实常态化帮扶责任。保持过渡期后帮扶政策总体稳定，完善开发式帮扶与兜底保障相结合的帮扶制度，推动帮扶政策协同互补。健全常态化防止返贫致贫监测帮扶机制，科学精准确定帮扶对象，扎实做好分类帮扶和动态调整，切实做到应纳尽纳、应帮尽帮，确保不发生规模性返贫致贫。</w:t>
      </w:r>
    </w:p>
    <w:p w14:paraId="2437C536">
      <w:pPr>
        <w:overflowPunct w:val="0"/>
        <w:topLinePunct/>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加强产业就业帮扶。</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加大产业帮扶力度，强化帮扶产业分类指导，落实巩固、升级、盘活、调整“四个一批”要求，推动产业提质增效、可持续发展；完善到户产业奖补政策，促进低收入群体经营增收。全面加强帮扶项目资产管理，完善监管制度，盘活利用低效闲置资产，推动经营性资产保值增效、公益性资产持续发挥作用。强化就业帮扶，稳定外出务工规模，深化劳务协作、培育劳务品牌，畅通乡村公益性岗位、以工代赈和社区工厂等就业渠道，提升就业质量和收入水平。强化易地搬迁后续扶持，多措并举促进搬迁群众就业增收，完善安置社区配套基础设施，深化服务管理，确保搬迁群众安居乐业。</w:t>
      </w:r>
    </w:p>
    <w:p w14:paraId="27AC3203">
      <w:pPr>
        <w:pStyle w:val="6"/>
        <w:overflowPunct w:val="0"/>
        <w:topLinePunct/>
        <w:spacing w:before="312" w:beforeLines="100" w:after="312" w:afterLines="100"/>
        <w:rPr>
          <w:color w:val="000000" w:themeColor="text1"/>
          <w14:textFill>
            <w14:solidFill>
              <w14:schemeClr w14:val="tx1"/>
            </w14:solidFill>
          </w14:textFill>
        </w:rPr>
      </w:pPr>
      <w:bookmarkStart w:id="53" w:name="_Toc7106"/>
      <w:r>
        <w:rPr>
          <w:rFonts w:hint="eastAsia"/>
          <w:color w:val="000000" w:themeColor="text1"/>
          <w14:textFill>
            <w14:solidFill>
              <w14:schemeClr w14:val="tx1"/>
            </w14:solidFill>
          </w14:textFill>
        </w:rPr>
        <w:t>第二章 建设宜居宜业和美乡村</w:t>
      </w:r>
      <w:bookmarkEnd w:id="53"/>
    </w:p>
    <w:p w14:paraId="41BDC32A">
      <w:pPr>
        <w:pStyle w:val="26"/>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完善乡村基础设施和公共服务。</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深入学习运用“千万工程”经验，完善乡村建设实施机制。加强村庄规划统一管理，优化村庄功能布局。提升乡村水、电、路、气、通讯、物流等基础设施，分类推进城乡供水一体化、集中供水规模化、小型供水规范化建设，稳步推动电网改造提升，抓好农村路建设，加强农村住房建设管理，健全农村住房安全隐患常态化巡查机制，加快建设现代宜居农房。适应农村人口结构和社会形态变化，优化教育、医疗、养老、托育等农村公共服务供给，加快构建县域统筹规划布局、县乡村功能衔接互补的公共服务体系。</w:t>
      </w:r>
    </w:p>
    <w:p w14:paraId="3978DBA8">
      <w:pPr>
        <w:overflowPunct w:val="0"/>
        <w:topLinePunct/>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探索多元化乡村发展路径。</w:t>
      </w:r>
      <w:r>
        <w:rPr>
          <w:rFonts w:hint="eastAsia" w:ascii="仿宋_GB2312" w:hAnsi="仿宋_GB2312" w:eastAsia="仿宋_GB2312" w:cs="仿宋_GB2312"/>
          <w:color w:val="000000" w:themeColor="text1"/>
          <w:sz w:val="32"/>
          <w:szCs w:val="32"/>
          <w14:textFill>
            <w14:solidFill>
              <w14:schemeClr w14:val="tx1"/>
            </w14:solidFill>
          </w14:textFill>
        </w:rPr>
        <w:t>持续开展村集体经济“壮大培强”行动，做大特色经济、联农带农经济。</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积极引入市场化、专业化力量，重点推广乡村建设公司、国有企业带动镇村等发展模式，推动资源整合与高效运营。加强结对带动，将现代企业的管理、技术、市场优势与镇村的土地、劳动力、特色资源有机结合，实现优势互补、抱团发展、良性互动、共建共享，助力乡村全面振兴。对“组织联建、产业联动、服务联享”的“三联”工作机制进行迭代升级，推动更多跨区域、跨层级的党组织共建。</w:t>
      </w:r>
    </w:p>
    <w:p w14:paraId="56B04F4A">
      <w:pPr>
        <w:spacing w:line="560" w:lineRule="exact"/>
        <w:ind w:firstLine="643" w:firstLineChars="200"/>
        <w:rPr>
          <w:rFonts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提升农村人居环境和文明乡风。</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加强传统村落保护和乡村风貌塑造，系统推进“扫干净、摆整齐、改旱厕、清污淤”“拆违建、清四乱、除残垣、建家园”“行孝义、除陋习、和乡里、美村居”和美乡村建设提升行动，推动美丽环境转化为美丽经济。深化新民风建设，引导村民自我教育、自我管理，持续推进农村移风易俗，防范整治高价彩礼、大操大办、封建迷信等突出问题，依法打击非法宗教渗透、邪教、赌博等活动，积极培育文明乡风、良好家风、淳朴民风。到2030年，规模化供水工程覆盖农村人口比例达到70%，农村生活污水治理率达到75%，对生活垃圾进行收运处理的自然村比例达到100%，美丽乡村整县建成比例不低于60%。</w:t>
      </w:r>
    </w:p>
    <w:p w14:paraId="16B7FE05">
      <w:pPr>
        <w:spacing w:line="574" w:lineRule="exact"/>
        <w:ind w:firstLine="640" w:firstLineChars="200"/>
        <w:rPr>
          <w:rFonts w:ascii="仿宋_GB2312" w:hAnsi="仿宋_GB2312" w:eastAsia="仿宋_GB2312" w:cs="仿宋_GB2312"/>
          <w:snapToGrid w:val="0"/>
          <w:color w:val="000000" w:themeColor="text1"/>
          <w:kern w:val="0"/>
          <w:sz w:val="32"/>
          <w:szCs w:val="32"/>
          <w14:textFill>
            <w14:solidFill>
              <w14:schemeClr w14:val="tx1"/>
            </w14:solidFill>
          </w14:textFill>
        </w:rPr>
      </w:pP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7AF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4B3059BA">
            <w:pPr>
              <w:pStyle w:val="31"/>
              <w:overflowPunct w:val="0"/>
              <w:topLinePunct/>
              <w:spacing w:after="0" w:line="440" w:lineRule="exact"/>
              <w:ind w:firstLine="0" w:firstLineChars="0"/>
              <w:jc w:val="center"/>
              <w:rPr>
                <w:rFonts w:ascii="Times New Roman" w:hAnsi="Times New Roman" w:eastAsia="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专栏11  乡村建设水平提升工程</w:t>
            </w:r>
          </w:p>
        </w:tc>
      </w:tr>
      <w:tr w14:paraId="3524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jc w:val="center"/>
        </w:trPr>
        <w:tc>
          <w:tcPr>
            <w:tcW w:w="5000" w:type="pct"/>
          </w:tcPr>
          <w:p w14:paraId="0E5C779A">
            <w:pPr>
              <w:overflowPunct w:val="0"/>
              <w:topLinePunct/>
              <w:adjustRightInd w:val="0"/>
              <w:snapToGrid w:val="0"/>
              <w:spacing w:before="156" w:beforeLines="50" w:line="44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（一）乡村道路。</w:t>
            </w:r>
            <w:r>
              <w:rPr>
                <w:rFonts w:hint="eastAsia" w:ascii="宋体" w:hAnsi="宋体" w:eastAsia="宋体" w:cs="宋体"/>
                <w:color w:val="000000" w:themeColor="text1"/>
                <w:sz w:val="24"/>
                <w:szCs w:val="24"/>
                <w14:textFill>
                  <w14:solidFill>
                    <w14:schemeClr w14:val="tx1"/>
                  </w14:solidFill>
                </w14:textFill>
              </w:rPr>
              <w:t>推进较大人口规模自然村（组）通硬化路，有序实施毗邻镇、村之间的联网公路，加快具备条件的产业路旅游路建设，推动乡镇通三级及以上公路改造。农村公路优良中等路率持续保持在85%以上。</w:t>
            </w:r>
          </w:p>
          <w:p w14:paraId="2D0547F9">
            <w:pPr>
              <w:overflowPunct w:val="0"/>
              <w:topLinePunct/>
              <w:adjustRightInd w:val="0"/>
              <w:snapToGrid w:val="0"/>
              <w:spacing w:line="44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（二）乡村供水。</w:t>
            </w:r>
            <w:r>
              <w:rPr>
                <w:rFonts w:hint="eastAsia" w:ascii="宋体" w:hAnsi="宋体" w:eastAsia="宋体" w:cs="宋体"/>
                <w:color w:val="000000" w:themeColor="text1"/>
                <w:sz w:val="24"/>
                <w:szCs w:val="24"/>
                <w14:textFill>
                  <w14:solidFill>
                    <w14:schemeClr w14:val="tx1"/>
                  </w14:solidFill>
                </w14:textFill>
              </w:rPr>
              <w:t>推进稳定饮用水水源和城乡供水一体化建设。到2030年，全市农村自来水普及率达到99%以上。</w:t>
            </w:r>
          </w:p>
          <w:p w14:paraId="6EBFED86">
            <w:pPr>
              <w:overflowPunct w:val="0"/>
              <w:topLinePunct/>
              <w:adjustRightInd w:val="0"/>
              <w:snapToGrid w:val="0"/>
              <w:spacing w:line="44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（三）乡村电网。</w:t>
            </w:r>
            <w:r>
              <w:rPr>
                <w:rFonts w:hint="eastAsia" w:ascii="宋体" w:hAnsi="宋体" w:eastAsia="宋体" w:cs="宋体"/>
                <w:color w:val="000000" w:themeColor="text1"/>
                <w:sz w:val="24"/>
                <w:szCs w:val="24"/>
                <w14:textFill>
                  <w14:solidFill>
                    <w14:schemeClr w14:val="tx1"/>
                  </w14:solidFill>
                </w14:textFill>
              </w:rPr>
              <w:t>持续实施农村电网巩固提升工程，农村电网供电可靠率、综合电压合格率、户均配变容量分别达到99.98%、99.94%、3.8千伏安。</w:t>
            </w:r>
          </w:p>
          <w:p w14:paraId="75F1FA9D">
            <w:pPr>
              <w:overflowPunct w:val="0"/>
              <w:topLinePunct/>
              <w:adjustRightInd w:val="0"/>
              <w:snapToGrid w:val="0"/>
              <w:spacing w:line="44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（四）乡村网络。</w:t>
            </w:r>
            <w:r>
              <w:rPr>
                <w:rFonts w:hint="eastAsia" w:ascii="宋体" w:hAnsi="宋体" w:eastAsia="宋体" w:cs="宋体"/>
                <w:color w:val="000000" w:themeColor="text1"/>
                <w:sz w:val="24"/>
                <w:szCs w:val="24"/>
                <w14:textFill>
                  <w14:solidFill>
                    <w14:schemeClr w14:val="tx1"/>
                  </w14:solidFill>
                </w14:textFill>
              </w:rPr>
              <w:t>提高农村较大规模人口聚居区、生产作业区、公共机构、交通要道沿线等区域宽带网络覆盖深度和广度，稳步推进5G、千兆光网等网络向农村拓展覆盖。到2030年，实现全市100%行政村通5G。</w:t>
            </w:r>
          </w:p>
          <w:p w14:paraId="2F6CE81E">
            <w:pPr>
              <w:overflowPunct w:val="0"/>
              <w:topLinePunct/>
              <w:adjustRightInd w:val="0"/>
              <w:snapToGrid w:val="0"/>
              <w:spacing w:line="44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（五）乡村环境。</w:t>
            </w:r>
            <w:r>
              <w:rPr>
                <w:rFonts w:hint="eastAsia" w:ascii="宋体" w:hAnsi="宋体" w:eastAsia="宋体" w:cs="宋体"/>
                <w:color w:val="000000" w:themeColor="text1"/>
                <w:sz w:val="24"/>
                <w:szCs w:val="24"/>
                <w14:textFill>
                  <w14:solidFill>
                    <w14:schemeClr w14:val="tx1"/>
                  </w14:solidFill>
                </w14:textFill>
              </w:rPr>
              <w:t>持续深化农村人居环境整治提升，推进农村厕所革命、农村生活污水和垃圾治理，加强传统村落保护和乡村风貌塑造，不断提高农村人居环境舒适度。</w:t>
            </w:r>
          </w:p>
          <w:p w14:paraId="5E95016A">
            <w:pPr>
              <w:overflowPunct w:val="0"/>
              <w:topLinePunct/>
              <w:adjustRightInd w:val="0"/>
              <w:snapToGrid w:val="0"/>
              <w:spacing w:after="156" w:afterLines="50" w:line="440" w:lineRule="exact"/>
              <w:ind w:firstLine="480" w:firstLineChars="200"/>
              <w:rPr>
                <w:rFonts w:ascii="楷体" w:hAnsi="楷体" w:eastAsia="楷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（六）乡村公共服务。</w:t>
            </w:r>
            <w:r>
              <w:rPr>
                <w:rFonts w:hint="eastAsia" w:ascii="宋体" w:hAnsi="宋体" w:eastAsia="宋体" w:cs="宋体"/>
                <w:color w:val="000000" w:themeColor="text1"/>
                <w:sz w:val="24"/>
                <w:szCs w:val="24"/>
                <w14:textFill>
                  <w14:solidFill>
                    <w14:schemeClr w14:val="tx1"/>
                  </w14:solidFill>
                </w14:textFill>
              </w:rPr>
              <w:t>加强农村教育、医疗、文化、养老基础设施建设，提升基本公共服务水平。在有条件的村庄建设农村幸福院、老年食堂。</w:t>
            </w:r>
          </w:p>
        </w:tc>
      </w:tr>
    </w:tbl>
    <w:p w14:paraId="049BE389">
      <w:pPr>
        <w:pStyle w:val="6"/>
        <w:overflowPunct w:val="0"/>
        <w:topLinePunct/>
        <w:spacing w:before="312" w:beforeLines="100" w:after="312" w:afterLines="100"/>
        <w:rPr>
          <w:color w:val="000000" w:themeColor="text1"/>
          <w14:textFill>
            <w14:solidFill>
              <w14:schemeClr w14:val="tx1"/>
            </w14:solidFill>
          </w14:textFill>
        </w:rPr>
      </w:pPr>
      <w:bookmarkStart w:id="54" w:name="_Toc16689"/>
      <w:r>
        <w:rPr>
          <w:rFonts w:hint="eastAsia"/>
          <w:color w:val="000000" w:themeColor="text1"/>
          <w14:textFill>
            <w14:solidFill>
              <w14:schemeClr w14:val="tx1"/>
            </w14:solidFill>
          </w14:textFill>
        </w:rPr>
        <w:t>第三章 推进以人为本的新型城镇化</w:t>
      </w:r>
      <w:bookmarkEnd w:id="54"/>
    </w:p>
    <w:p w14:paraId="037173AE">
      <w:pPr>
        <w:overflowPunct w:val="0"/>
        <w:topLinePunct/>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
          <w14:textFill>
            <w14:solidFill>
              <w14:schemeClr w14:val="tx1"/>
            </w14:solidFill>
          </w14:textFill>
        </w:rPr>
        <w:t>提升中心城市品质。</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深化落实“湖城一体、疏解老城、重心北移、有序东扩”战略，适度拉大城市框架，稳妥扩张城市规模。高质量推进城市更新，以“一湖两岸”城市会客厅建设为核心，积极实施城市地下管网管廊建设改造，推进建筑和市政基础设施设备更新；推动张岭、北门、兴安、东关等重点片区老旧小区改造，启动和完成一批具有代表性的城市更新项目。大力发展生活性服务业，构建完整社区与一刻钟便民生活圈，补齐公共服务短板。严控大拆大建，保护城市独特的历史文脉、人文地理、自然景观，植入文旅、商贸等新业态，以片区化更新激活城市内生动力。</w:t>
      </w:r>
      <w:r>
        <w:rPr>
          <w:rFonts w:hint="eastAsia" w:ascii="仿宋_GB2312" w:hAnsi="仿宋_GB2312" w:eastAsia="仿宋_GB2312" w:cs="仿宋_GB2312"/>
          <w:color w:val="000000" w:themeColor="text1"/>
          <w:sz w:val="32"/>
          <w:szCs w:val="32"/>
          <w14:textFill>
            <w14:solidFill>
              <w14:schemeClr w14:val="tx1"/>
            </w14:solidFill>
          </w14:textFill>
        </w:rPr>
        <w:t>构建智慧城市运行管理新范式，加快建设创新、宜居、美丽、低碳、韧性、文明、智慧的现代化人民城市</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w:t>
      </w:r>
    </w:p>
    <w:p w14:paraId="3DD9ABA3">
      <w:pPr>
        <w:overflowPunct w:val="0"/>
        <w:topLinePunct/>
        <w:spacing w:line="560" w:lineRule="exact"/>
        <w:ind w:firstLine="643" w:firstLineChars="200"/>
        <w:rPr>
          <w:color w:val="000000" w:themeColor="text1"/>
          <w14:textFill>
            <w14:solidFill>
              <w14:schemeClr w14:val="tx1"/>
            </w14:solidFill>
          </w14:textFill>
        </w:rPr>
      </w:pPr>
      <w:r>
        <w:rPr>
          <w:rFonts w:hint="eastAsia" w:ascii="楷体_GB2312" w:hAnsi="楷体_GB2312" w:eastAsia="楷体_GB2312" w:cs="楷体_GB2312"/>
          <w:b/>
          <w:bCs/>
          <w:color w:val="000000" w:themeColor="text1"/>
          <w:sz w:val="32"/>
          <w:szCs w:val="32"/>
          <w:lang w:val="en"/>
          <w14:textFill>
            <w14:solidFill>
              <w14:schemeClr w14:val="tx1"/>
            </w14:solidFill>
          </w14:textFill>
        </w:rPr>
        <w:t>增强城镇承载功能。</w:t>
      </w:r>
      <w:r>
        <w:rPr>
          <w:rFonts w:hint="eastAsia" w:ascii="仿宋_GB2312" w:hAnsi="方正仿宋_GB2312" w:eastAsia="仿宋_GB2312" w:cs="方正仿宋_GB2312"/>
          <w:snapToGrid w:val="0"/>
          <w:color w:val="000000" w:themeColor="text1"/>
          <w:kern w:val="0"/>
          <w:sz w:val="32"/>
          <w:szCs w:val="32"/>
          <w:lang w:val="en"/>
          <w14:textFill>
            <w14:solidFill>
              <w14:schemeClr w14:val="tx1"/>
            </w14:solidFill>
          </w14:textFill>
        </w:rPr>
        <w:t>培育旬阳、汉阴两个市域副中心，支持石泉、紫阳等7个县域中心城市提质扩容。培育县域特色优势产业集群，引导重大产业项目在重点县</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城</w:t>
      </w:r>
      <w:r>
        <w:rPr>
          <w:rFonts w:hint="eastAsia" w:ascii="仿宋_GB2312" w:hAnsi="方正仿宋_GB2312" w:eastAsia="仿宋_GB2312" w:cs="方正仿宋_GB2312"/>
          <w:snapToGrid w:val="0"/>
          <w:color w:val="000000" w:themeColor="text1"/>
          <w:kern w:val="0"/>
          <w:sz w:val="32"/>
          <w:szCs w:val="32"/>
          <w:lang w:val="en"/>
          <w14:textFill>
            <w14:solidFill>
              <w14:schemeClr w14:val="tx1"/>
            </w14:solidFill>
          </w14:textFill>
        </w:rPr>
        <w:t>集群布局，有序承接先进产业和头部企业梯度转移。</w:t>
      </w:r>
      <w:r>
        <w:rPr>
          <w:rFonts w:hint="eastAsia" w:ascii="仿宋_GB2312" w:hAnsi="仿宋_GB2312" w:eastAsia="仿宋_GB2312" w:cs="仿宋_GB2312"/>
          <w:color w:val="000000" w:themeColor="text1"/>
          <w:sz w:val="32"/>
          <w:szCs w:val="32"/>
          <w:lang w:val="en"/>
          <w14:textFill>
            <w14:solidFill>
              <w14:schemeClr w14:val="tx1"/>
            </w14:solidFill>
          </w14:textFill>
        </w:rPr>
        <w:t>加强</w:t>
      </w:r>
      <w:r>
        <w:rPr>
          <w:rFonts w:hint="eastAsia" w:ascii="仿宋_GB2312" w:hAnsi="仿宋_GB2312" w:eastAsia="仿宋_GB2312" w:cs="仿宋_GB2312"/>
          <w:color w:val="000000" w:themeColor="text1"/>
          <w:sz w:val="32"/>
          <w:szCs w:val="32"/>
          <w14:textFill>
            <w14:solidFill>
              <w14:schemeClr w14:val="tx1"/>
            </w14:solidFill>
          </w14:textFill>
        </w:rPr>
        <w:t>县城</w:t>
      </w:r>
      <w:r>
        <w:rPr>
          <w:rFonts w:ascii="仿宋_GB2312" w:hAnsi="楷体_GB2312" w:eastAsia="仿宋_GB2312" w:cs="楷体_GB2312"/>
          <w:color w:val="000000" w:themeColor="text1"/>
          <w:sz w:val="32"/>
          <w:szCs w:val="32"/>
          <w14:textFill>
            <w14:solidFill>
              <w14:schemeClr w14:val="tx1"/>
            </w14:solidFill>
          </w14:textFill>
        </w:rPr>
        <w:t>创新、投融资平台</w:t>
      </w:r>
      <w:r>
        <w:rPr>
          <w:rFonts w:hint="eastAsia" w:ascii="仿宋_GB2312" w:hAnsi="楷体_GB2312" w:eastAsia="仿宋_GB2312" w:cs="楷体_GB2312"/>
          <w:color w:val="000000" w:themeColor="text1"/>
          <w:sz w:val="32"/>
          <w:szCs w:val="32"/>
          <w14:textFill>
            <w14:solidFill>
              <w14:schemeClr w14:val="tx1"/>
            </w14:solidFill>
          </w14:textFill>
        </w:rPr>
        <w:t>建设</w:t>
      </w:r>
      <w:r>
        <w:rPr>
          <w:rFonts w:ascii="仿宋_GB2312" w:hAnsi="楷体_GB2312" w:eastAsia="仿宋_GB2312" w:cs="楷体_GB2312"/>
          <w:color w:val="000000" w:themeColor="text1"/>
          <w:sz w:val="32"/>
          <w:szCs w:val="32"/>
          <w14:textFill>
            <w14:solidFill>
              <w14:schemeClr w14:val="tx1"/>
            </w14:solidFill>
          </w14:textFill>
        </w:rPr>
        <w:t>，</w:t>
      </w:r>
      <w:r>
        <w:rPr>
          <w:rFonts w:hint="eastAsia" w:ascii="仿宋_GB2312" w:hAnsi="楷体_GB2312" w:eastAsia="仿宋_GB2312" w:cs="楷体_GB2312"/>
          <w:color w:val="000000" w:themeColor="text1"/>
          <w:sz w:val="32"/>
          <w:szCs w:val="32"/>
          <w14:textFill>
            <w14:solidFill>
              <w14:schemeClr w14:val="tx1"/>
            </w14:solidFill>
          </w14:textFill>
        </w:rPr>
        <w:t>完善基础设施、商贸物流、公共服务、社会治理网络</w:t>
      </w:r>
      <w:r>
        <w:rPr>
          <w:rFonts w:ascii="仿宋_GB2312" w:hAnsi="楷体_GB2312" w:eastAsia="仿宋_GB2312" w:cs="楷体_GB2312"/>
          <w:color w:val="000000" w:themeColor="text1"/>
          <w:sz w:val="32"/>
          <w:szCs w:val="32"/>
          <w14:textFill>
            <w14:solidFill>
              <w14:schemeClr w14:val="tx1"/>
            </w14:solidFill>
          </w14:textFill>
        </w:rPr>
        <w:t>。</w:t>
      </w:r>
      <w:r>
        <w:rPr>
          <w:rFonts w:hint="eastAsia" w:ascii="仿宋_GB2312" w:hAnsi="楷体_GB2312" w:eastAsia="仿宋_GB2312" w:cs="楷体_GB2312"/>
          <w:color w:val="000000" w:themeColor="text1"/>
          <w:sz w:val="32"/>
          <w:szCs w:val="32"/>
          <w14:textFill>
            <w14:solidFill>
              <w14:schemeClr w14:val="tx1"/>
            </w14:solidFill>
          </w14:textFill>
        </w:rPr>
        <w:t>着眼县域全局</w:t>
      </w:r>
      <w:r>
        <w:rPr>
          <w:rFonts w:hint="eastAsia" w:ascii="仿宋_GB2312" w:hAnsi="仿宋_GB2312" w:eastAsia="仿宋_GB2312" w:cs="仿宋_GB2312"/>
          <w:color w:val="000000" w:themeColor="text1"/>
          <w:sz w:val="32"/>
          <w:szCs w:val="32"/>
          <w14:textFill>
            <w14:solidFill>
              <w14:schemeClr w14:val="tx1"/>
            </w14:solidFill>
          </w14:textFill>
        </w:rPr>
        <w:t>做优</w:t>
      </w:r>
      <w:r>
        <w:rPr>
          <w:rFonts w:ascii="仿宋_GB2312" w:hAnsi="仿宋_GB2312" w:eastAsia="仿宋_GB2312" w:cs="仿宋_GB2312"/>
          <w:color w:val="000000" w:themeColor="text1"/>
          <w:sz w:val="32"/>
          <w:szCs w:val="32"/>
          <w14:textFill>
            <w14:solidFill>
              <w14:schemeClr w14:val="tx1"/>
            </w14:solidFill>
          </w14:textFill>
        </w:rPr>
        <w:t>城镇</w:t>
      </w:r>
      <w:r>
        <w:rPr>
          <w:rFonts w:hint="eastAsia" w:ascii="仿宋_GB2312" w:hAnsi="仿宋_GB2312" w:eastAsia="仿宋_GB2312" w:cs="仿宋_GB2312"/>
          <w:color w:val="000000" w:themeColor="text1"/>
          <w:sz w:val="32"/>
          <w:szCs w:val="32"/>
          <w14:textFill>
            <w14:solidFill>
              <w14:schemeClr w14:val="tx1"/>
            </w14:solidFill>
          </w14:textFill>
        </w:rPr>
        <w:t>节点</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明晰功能定位，优化空间布局，提升</w:t>
      </w:r>
      <w:r>
        <w:rPr>
          <w:rFonts w:ascii="仿宋_GB2312" w:hAnsi="仿宋_GB2312" w:eastAsia="仿宋_GB2312" w:cs="仿宋_GB2312"/>
          <w:color w:val="000000" w:themeColor="text1"/>
          <w:sz w:val="32"/>
          <w:szCs w:val="32"/>
          <w14:textFill>
            <w14:solidFill>
              <w14:schemeClr w14:val="tx1"/>
            </w14:solidFill>
          </w14:textFill>
        </w:rPr>
        <w:t>镇</w:t>
      </w:r>
      <w:r>
        <w:rPr>
          <w:rFonts w:hint="eastAsia" w:ascii="仿宋_GB2312" w:hAnsi="仿宋_GB2312" w:eastAsia="仿宋_GB2312" w:cs="仿宋_GB2312"/>
          <w:color w:val="000000" w:themeColor="text1"/>
          <w:sz w:val="32"/>
          <w:szCs w:val="32"/>
          <w14:textFill>
            <w14:solidFill>
              <w14:schemeClr w14:val="tx1"/>
            </w14:solidFill>
          </w14:textFill>
        </w:rPr>
        <w:t>域</w:t>
      </w:r>
      <w:r>
        <w:rPr>
          <w:rFonts w:ascii="仿宋_GB2312" w:hAnsi="仿宋_GB2312" w:eastAsia="仿宋_GB2312" w:cs="仿宋_GB2312"/>
          <w:color w:val="000000" w:themeColor="text1"/>
          <w:sz w:val="32"/>
          <w:szCs w:val="32"/>
          <w14:textFill>
            <w14:solidFill>
              <w14:schemeClr w14:val="tx1"/>
            </w14:solidFill>
          </w14:textFill>
        </w:rPr>
        <w:t>特色产业</w:t>
      </w:r>
      <w:r>
        <w:rPr>
          <w:rFonts w:hint="eastAsia" w:ascii="仿宋_GB2312" w:hAnsi="仿宋_GB2312" w:eastAsia="仿宋_GB2312" w:cs="仿宋_GB2312"/>
          <w:color w:val="000000" w:themeColor="text1"/>
          <w:sz w:val="32"/>
          <w:szCs w:val="32"/>
          <w14:textFill>
            <w14:solidFill>
              <w14:schemeClr w14:val="tx1"/>
            </w14:solidFill>
          </w14:textFill>
        </w:rPr>
        <w:t>承载能力</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培育一批工业重镇、农业大镇、商贸强镇、文旅名镇和特色小镇，积极争取城镇化专项资金支持建制镇镇区基础设施建设。</w:t>
      </w:r>
    </w:p>
    <w:p w14:paraId="63FF492C">
      <w:pPr>
        <w:overflowPunct w:val="0"/>
        <w:topLinePunct/>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
          <w14:textFill>
            <w14:solidFill>
              <w14:schemeClr w14:val="tx1"/>
            </w14:solidFill>
          </w14:textFill>
        </w:rPr>
        <w:t>推进农业转移人口市民化。</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协同推进户籍制度改革，引导农业转移人口在安康城区、县城和重点乡镇地区落户。落实由常住地登记户口提供基本公共服务制度，推动符合条件的农业转移人口享有同迁入地户籍人口同等权利。保障进城落户农民的土地承包权、宅基地使用权、集体收益分配权，探索建立自愿有偿退出机制。加强技能培训，促进农业转移人口在城镇稳定就业，完善安置房分配机制，保障随迁子女平等享有受教育权利，扩大社会保障覆盖面，提高城市融入能力。</w:t>
      </w:r>
    </w:p>
    <w:p w14:paraId="73DD2FA9">
      <w:pPr>
        <w:spacing w:line="574" w:lineRule="exact"/>
        <w:rPr>
          <w:rFonts w:ascii="仿宋_GB2312" w:hAnsi="仿宋_GB2312" w:eastAsia="仿宋_GB2312" w:cs="仿宋_GB2312"/>
          <w:color w:val="000000" w:themeColor="text1"/>
          <w:sz w:val="32"/>
          <w:szCs w:val="32"/>
          <w14:textFill>
            <w14:solidFill>
              <w14:schemeClr w14:val="tx1"/>
            </w14:solidFill>
          </w14:textFill>
        </w:rPr>
      </w:pP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532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vAlign w:val="center"/>
          </w:tcPr>
          <w:p w14:paraId="513E346C">
            <w:pPr>
              <w:overflowPunct w:val="0"/>
              <w:topLinePunct/>
              <w:adjustRightInd w:val="0"/>
              <w:snapToGrid w:val="0"/>
              <w:spacing w:line="440" w:lineRule="exact"/>
              <w:jc w:val="center"/>
              <w:rPr>
                <w:rFonts w:ascii="方正仿宋_GB2312" w:hAnsi="方正仿宋_GB2312" w:eastAsia="黑体" w:cs="方正仿宋_GB2312"/>
                <w:snapToGrid w:val="0"/>
                <w:color w:val="000000" w:themeColor="text1"/>
                <w:kern w:val="0"/>
                <w:sz w:val="32"/>
                <w:szCs w:val="32"/>
                <w14:textFill>
                  <w14:solidFill>
                    <w14:schemeClr w14:val="tx1"/>
                  </w14:solidFill>
                </w14:textFill>
              </w:rPr>
            </w:pPr>
            <w:r>
              <w:rPr>
                <w:rFonts w:hint="eastAsia" w:ascii="黑体" w:hAnsi="黑体" w:eastAsia="黑体" w:cs="黑体"/>
                <w:snapToGrid w:val="0"/>
                <w:color w:val="000000" w:themeColor="text1"/>
                <w:kern w:val="0"/>
                <w:sz w:val="28"/>
                <w:szCs w:val="28"/>
                <w14:textFill>
                  <w14:solidFill>
                    <w14:schemeClr w14:val="tx1"/>
                  </w14:solidFill>
                </w14:textFill>
              </w:rPr>
              <w:t>专栏12  新型城镇化重点</w:t>
            </w:r>
            <w:r>
              <w:rPr>
                <w:rFonts w:hint="eastAsia" w:ascii="黑体" w:hAnsi="黑体" w:eastAsia="黑体" w:cs="黑体"/>
                <w:color w:val="000000" w:themeColor="text1"/>
                <w:sz w:val="28"/>
                <w:szCs w:val="28"/>
                <w14:textFill>
                  <w14:solidFill>
                    <w14:schemeClr w14:val="tx1"/>
                  </w14:solidFill>
                </w14:textFill>
              </w:rPr>
              <w:t>建设工程</w:t>
            </w:r>
          </w:p>
        </w:tc>
      </w:tr>
      <w:tr w14:paraId="2BD6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tcPr>
          <w:p w14:paraId="6B7D02E6">
            <w:pPr>
              <w:numPr>
                <w:ilvl w:val="255"/>
                <w:numId w:val="0"/>
              </w:numPr>
              <w:overflowPunct w:val="0"/>
              <w:topLinePunct/>
              <w:snapToGrid w:val="0"/>
              <w:spacing w:before="156" w:beforeLines="50" w:line="440" w:lineRule="exact"/>
              <w:ind w:firstLine="480" w:firstLineChars="200"/>
              <w:rPr>
                <w:rFonts w:ascii="楷体" w:hAnsi="楷体" w:eastAsia="楷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（一）中心城市建设。</w:t>
            </w:r>
            <w:r>
              <w:rPr>
                <w:rFonts w:hint="eastAsia" w:ascii="宋体" w:hAnsi="宋体" w:eastAsia="宋体" w:cs="宋体"/>
                <w:snapToGrid w:val="0"/>
                <w:color w:val="000000" w:themeColor="text1"/>
                <w:kern w:val="0"/>
                <w:sz w:val="24"/>
                <w:szCs w:val="24"/>
                <w14:textFill>
                  <w14:solidFill>
                    <w14:schemeClr w14:val="tx1"/>
                  </w14:solidFill>
                </w14:textFill>
              </w:rPr>
              <w:t>加快推进“一湖两岸”城文旅融合发展，高品质推进江南老城、江北黄沟、张岭片区综合改造，持续推动新关庙汉江大桥建设，重点实施张岭片区城市更新、新城北门城市更新、中心城区易涝点整治、白庙雨污分流工程和张岭片区市政排涝设施工程等一系列建设项目。</w:t>
            </w:r>
          </w:p>
          <w:p w14:paraId="17509CF4">
            <w:pPr>
              <w:overflowPunct w:val="0"/>
              <w:topLinePunct/>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（二）县城建设。</w:t>
            </w:r>
            <w:r>
              <w:rPr>
                <w:rFonts w:hint="eastAsia" w:ascii="宋体" w:hAnsi="宋体" w:eastAsia="宋体" w:cs="宋体"/>
                <w:snapToGrid w:val="0"/>
                <w:color w:val="000000" w:themeColor="text1"/>
                <w:kern w:val="0"/>
                <w:sz w:val="24"/>
                <w:szCs w:val="24"/>
                <w14:textFill>
                  <w14:solidFill>
                    <w14:schemeClr w14:val="tx1"/>
                  </w14:solidFill>
                </w14:textFill>
              </w:rPr>
              <w:t>加快推进县城老旧小区改造、雨污分流、排水防涝改造、燃气等老旧管网改造及水环境综合治理等项目建设，有序实施汉滨区城东新区雨污水地下管网更新改造项目、旬阳市污水处理和水环境项目（二期、三期）、旬阳市历史文化名城提升改造、汉阴县全民健身中心、石泉县城城东排水管网建设、平利县丹江口流域（坝河段）水环境综合治理、白河县城区生活垃圾综合处理工程、宁陕县体育运动中心、紫阳县污水处理厂设施更新改造项目、岚皋县县城污水处理厂主管网改造项目、镇坪县老城组团市政管道建设改造（一期）项目等重点项目。</w:t>
            </w:r>
          </w:p>
          <w:p w14:paraId="0D213784">
            <w:pPr>
              <w:overflowPunct w:val="0"/>
              <w:topLinePunct/>
              <w:adjustRightInd w:val="0"/>
              <w:snapToGrid w:val="0"/>
              <w:spacing w:after="156" w:afterLines="50" w:line="440" w:lineRule="exact"/>
              <w:ind w:firstLine="480" w:firstLineChars="200"/>
              <w:rPr>
                <w:color w:val="000000" w:themeColor="text1"/>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（三）重点镇建设。</w:t>
            </w:r>
            <w:r>
              <w:rPr>
                <w:rFonts w:hint="eastAsia" w:ascii="宋体" w:hAnsi="宋体" w:eastAsia="宋体" w:cs="宋体"/>
                <w:snapToGrid w:val="0"/>
                <w:color w:val="000000" w:themeColor="text1"/>
                <w:kern w:val="0"/>
                <w:sz w:val="24"/>
                <w:szCs w:val="24"/>
                <w14:textFill>
                  <w14:solidFill>
                    <w14:schemeClr w14:val="tx1"/>
                  </w14:solidFill>
                </w14:textFill>
              </w:rPr>
              <w:t>积极争取城镇化发展专项资金支持建制镇镇区基础设施项目建设，加快实施汉阴县汉江沿线重点镇雨污分流管网改造、紫阳县高桥镇历史文化名镇老旧小区改造、石泉县9个集镇污水管网建设等重点项目。</w:t>
            </w:r>
          </w:p>
        </w:tc>
      </w:tr>
    </w:tbl>
    <w:p w14:paraId="5D664DC6">
      <w:pPr>
        <w:pStyle w:val="6"/>
        <w:overflowPunct w:val="0"/>
        <w:topLinePunct/>
        <w:spacing w:before="312" w:beforeLines="100" w:after="312" w:afterLines="100"/>
        <w:rPr>
          <w:rFonts w:ascii="楷体_GB2312" w:hAnsi="楷体_GB2312" w:eastAsia="楷体_GB2312" w:cs="楷体_GB2312"/>
          <w:b/>
          <w:bCs/>
          <w:color w:val="000000" w:themeColor="text1"/>
          <w:lang w:val="en"/>
          <w14:textFill>
            <w14:solidFill>
              <w14:schemeClr w14:val="tx1"/>
            </w14:solidFill>
          </w14:textFill>
        </w:rPr>
      </w:pPr>
      <w:bookmarkStart w:id="55" w:name="_Toc7421"/>
      <w:r>
        <w:rPr>
          <w:rFonts w:hint="eastAsia"/>
          <w:color w:val="000000" w:themeColor="text1"/>
          <w14:textFill>
            <w14:solidFill>
              <w14:schemeClr w14:val="tx1"/>
            </w14:solidFill>
          </w14:textFill>
        </w:rPr>
        <w:t>第四章 推动</w:t>
      </w:r>
      <w:r>
        <w:rPr>
          <w:rFonts w:hint="eastAsia"/>
          <w:color w:val="000000" w:themeColor="text1"/>
          <w:lang w:val="en"/>
          <w14:textFill>
            <w14:solidFill>
              <w14:schemeClr w14:val="tx1"/>
            </w14:solidFill>
          </w14:textFill>
        </w:rPr>
        <w:t>全</w:t>
      </w:r>
      <w:r>
        <w:rPr>
          <w:rFonts w:hint="eastAsia"/>
          <w:color w:val="000000" w:themeColor="text1"/>
          <w14:textFill>
            <w14:solidFill>
              <w14:schemeClr w14:val="tx1"/>
            </w14:solidFill>
          </w14:textFill>
        </w:rPr>
        <w:t>域协同</w:t>
      </w:r>
      <w:r>
        <w:rPr>
          <w:rFonts w:hint="eastAsia"/>
          <w:color w:val="000000" w:themeColor="text1"/>
          <w:lang w:val="en"/>
          <w14:textFill>
            <w14:solidFill>
              <w14:schemeClr w14:val="tx1"/>
            </w14:solidFill>
          </w14:textFill>
        </w:rPr>
        <w:t>联动</w:t>
      </w:r>
      <w:bookmarkEnd w:id="55"/>
    </w:p>
    <w:p w14:paraId="1D542F65">
      <w:pPr>
        <w:overflowPunct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优化全域空间布局。</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落实主体功能区战略，推进“一核两心两带多点”联动发展，以中心城区为核心，推动安康高新区、瀛湖生态旅游区、恒口示范区融入中心城市发展；推进汉阴、旬阳市域副中心城市建设，促进月河川道城镇带和汉江生态城镇带发展；以其他县城、重点镇为重要节点进行提质增效，有序引导人口、资金、产业聚集。结合秦巴山地地形特点和田园风貌特征，科学引导农村居民点布局调整，立足富硒资源优势和农业产业基础，合理布局农业生产空间，构建“三区两带多园多点”的乡村发展空间体系。统筹推进汉江梯级电站湖库群生态、产业、景观建设，构建山水城业相融相生的空间格局。</w:t>
      </w:r>
    </w:p>
    <w:p w14:paraId="02747C34">
      <w:pPr>
        <w:overflowPunct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推进县域产业联动发展。</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坚持区域联动协同，建优用好产业链协作平台，健全跨区域产业转移协调机制，深化与毗邻地区产业协作，强化县域间产业互动、技术合作、市场对接、项目协同。产业功能县要突出产业支撑经济发展，着力构建工业配套体系与创新研发平台，促进首位产业向智能化、绿色化转型升级；农产品主产县要突出做优特色农产品，持续加大科技投入和品牌建设力度，延伸农产品加工链，提升农产品附加值；生态功能县要突出发展生态经济和康养旅游，用生态资源催生经济产值</w:t>
      </w:r>
      <w:r>
        <w:rPr>
          <w:rFonts w:hint="eastAsia" w:ascii="仿宋_GB2312" w:hAnsi="仿宋_GB2312" w:eastAsia="仿宋_GB2312" w:cs="仿宋_GB2312"/>
          <w:color w:val="000000" w:themeColor="text1"/>
          <w:sz w:val="32"/>
          <w:szCs w:val="32"/>
          <w14:textFill>
            <w14:solidFill>
              <w14:schemeClr w14:val="tx1"/>
            </w14:solidFill>
          </w14:textFill>
        </w:rPr>
        <w:t>。</w:t>
      </w:r>
    </w:p>
    <w:p w14:paraId="64DE1287">
      <w:pPr>
        <w:overflowPunct w:val="0"/>
        <w:spacing w:line="574"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4FF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tcPr>
          <w:p w14:paraId="4B319972">
            <w:pPr>
              <w:overflowPunct w:val="0"/>
              <w:topLinePunct/>
              <w:adjustRightInd w:val="0"/>
              <w:snapToGrid w:val="0"/>
              <w:spacing w:line="440" w:lineRule="exact"/>
              <w:jc w:val="center"/>
              <w:rPr>
                <w:rFonts w:ascii="方正仿宋_GB2312" w:hAnsi="方正仿宋_GB2312" w:eastAsia="黑体" w:cs="方正仿宋_GB2312"/>
                <w:snapToGrid w:val="0"/>
                <w:color w:val="000000" w:themeColor="text1"/>
                <w:kern w:val="0"/>
                <w:sz w:val="32"/>
                <w:szCs w:val="32"/>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专栏13  县（市、区）发展功能定位</w:t>
            </w:r>
          </w:p>
        </w:tc>
      </w:tr>
      <w:tr w14:paraId="32A1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6EB49413">
            <w:pPr>
              <w:overflowPunct w:val="0"/>
              <w:topLinePunct/>
              <w:adjustRightInd w:val="0"/>
              <w:snapToGrid w:val="0"/>
              <w:spacing w:before="156" w:beforeLines="50"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color w:val="000000" w:themeColor="text1"/>
                <w:sz w:val="24"/>
                <w14:textFill>
                  <w14:solidFill>
                    <w14:schemeClr w14:val="tx1"/>
                  </w14:solidFill>
                </w14:textFill>
              </w:rPr>
              <w:t>汉滨区</w:t>
            </w: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w:t>
            </w:r>
            <w:r>
              <w:rPr>
                <w:rFonts w:hint="eastAsia" w:ascii="宋体" w:hAnsi="宋体" w:eastAsia="宋体" w:cs="宋体"/>
                <w:snapToGrid w:val="0"/>
                <w:color w:val="000000" w:themeColor="text1"/>
                <w:kern w:val="0"/>
                <w:sz w:val="24"/>
                <w:szCs w:val="24"/>
                <w14:textFill>
                  <w14:solidFill>
                    <w14:schemeClr w14:val="tx1"/>
                  </w14:solidFill>
                </w14:textFill>
              </w:rPr>
              <w:t>以省级经开区为承载，发展富硒食品、新型材料、毛绒文创等产业，建设西部富硒食品产业聚集区。以安康湖“一湖两岸”为轴线，打造安康城市会客厅和秦巴区域商贸物流中心。</w:t>
            </w:r>
          </w:p>
          <w:p w14:paraId="2AA63E14">
            <w:pPr>
              <w:overflowPunct w:val="0"/>
              <w:topLinePunct/>
              <w:adjustRightInd w:val="0"/>
              <w:snapToGrid w:val="0"/>
              <w:spacing w:line="440" w:lineRule="exact"/>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旬阳市：</w:t>
            </w:r>
            <w:r>
              <w:rPr>
                <w:rFonts w:hint="eastAsia" w:ascii="宋体" w:hAnsi="宋体" w:eastAsia="宋体" w:cs="宋体"/>
                <w:snapToGrid w:val="0"/>
                <w:color w:val="000000" w:themeColor="text1"/>
                <w:kern w:val="0"/>
                <w:sz w:val="24"/>
                <w:szCs w:val="24"/>
                <w14:textFill>
                  <w14:solidFill>
                    <w14:schemeClr w14:val="tx1"/>
                  </w14:solidFill>
                </w14:textFill>
              </w:rPr>
              <w:t>围绕富硒食品、新型材料、绿色制造三大主导产业，推动旬阳高新区晋位升级；建设新型材料产业链重要承载区、打造富硒食品产业链精深加工区、培育文旅康养产业链特色节点区，打造安康市域副中心城市。</w:t>
            </w:r>
          </w:p>
          <w:p w14:paraId="6FF2CDD9">
            <w:pPr>
              <w:overflowPunct w:val="0"/>
              <w:topLinePunct/>
              <w:adjustRightInd w:val="0"/>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汉阴县：</w:t>
            </w:r>
            <w:r>
              <w:rPr>
                <w:rFonts w:hint="eastAsia" w:ascii="宋体" w:hAnsi="宋体" w:eastAsia="宋体" w:cs="宋体"/>
                <w:snapToGrid w:val="0"/>
                <w:color w:val="000000" w:themeColor="text1"/>
                <w:kern w:val="0"/>
                <w:sz w:val="24"/>
                <w:szCs w:val="24"/>
                <w14:textFill>
                  <w14:solidFill>
                    <w14:schemeClr w14:val="tx1"/>
                  </w14:solidFill>
                </w14:textFill>
              </w:rPr>
              <w:t>聚焦新材料、精细轻纺、富硒食品产业，以汉阴经开区为承载，建设全省碳基新材料创新发展高地、富硒有机食品创新发展引领区，打造月河川道产业带高质量发展增长极。建设安康市域副中心城市，打造全域全链全龄康养旅居目的地、秦巴山区美丽城市建设先行区。</w:t>
            </w:r>
          </w:p>
          <w:p w14:paraId="319E0665">
            <w:pPr>
              <w:overflowPunct w:val="0"/>
              <w:topLinePunct/>
              <w:adjustRightInd w:val="0"/>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石泉县：</w:t>
            </w:r>
            <w:r>
              <w:rPr>
                <w:rFonts w:hint="eastAsia" w:ascii="宋体" w:hAnsi="宋体" w:eastAsia="宋体" w:cs="宋体"/>
                <w:snapToGrid w:val="0"/>
                <w:color w:val="000000" w:themeColor="text1"/>
                <w:kern w:val="0"/>
                <w:sz w:val="24"/>
                <w:szCs w:val="24"/>
                <w14:textFill>
                  <w14:solidFill>
                    <w14:schemeClr w14:val="tx1"/>
                  </w14:solidFill>
                </w14:textFill>
              </w:rPr>
              <w:t>提质升级生态旅游、蚕桑丝绸、富硒食品（预制菜）、秦巴医药、新兴产业，建设文旅康养强县、蚕桑产业强县、富硒食品产业强县、城乡融合发展样板县。</w:t>
            </w:r>
          </w:p>
          <w:p w14:paraId="3F6FE37F">
            <w:pPr>
              <w:pStyle w:val="27"/>
              <w:widowControl/>
              <w:spacing w:line="440" w:lineRule="exact"/>
              <w:ind w:firstLine="480" w:firstLineChars="200"/>
              <w:jc w:val="both"/>
              <w:rPr>
                <w:rFonts w:hint="default" w:cs="宋体"/>
                <w:snapToGrid w:val="0"/>
                <w:color w:val="000000" w:themeColor="text1"/>
                <w14:textFill>
                  <w14:solidFill>
                    <w14:schemeClr w14:val="tx1"/>
                  </w14:solidFill>
                </w14:textFill>
              </w:rPr>
            </w:pPr>
            <w:r>
              <w:rPr>
                <w:rFonts w:ascii="楷体_GB2312" w:hAnsi="楷体_GB2312" w:eastAsia="楷体_GB2312" w:cs="楷体_GB2312"/>
                <w:snapToGrid w:val="0"/>
                <w:color w:val="000000" w:themeColor="text1"/>
                <w14:textFill>
                  <w14:solidFill>
                    <w14:schemeClr w14:val="tx1"/>
                  </w14:solidFill>
                </w14:textFill>
              </w:rPr>
              <w:t>宁陕县：</w:t>
            </w:r>
            <w:r>
              <w:rPr>
                <w:rFonts w:cs="宋体"/>
                <w:snapToGrid w:val="0"/>
                <w:color w:val="000000" w:themeColor="text1"/>
                <w14:textFill>
                  <w14:solidFill>
                    <w14:schemeClr w14:val="tx1"/>
                  </w14:solidFill>
                </w14:textFill>
              </w:rPr>
              <w:t>发展“生态旅游、农林产业、包装饮用水”主导产业，坚持生态旅游“一业引领，多业融合”，打造百亿级生态旅游产业集群，加快建设生态经济强县、建成一流生态旅游目的地。健全生态产品价值实现机制，建设生态经济先行区，创建“绿水青山就是金山银山”实践创新基地。</w:t>
            </w:r>
          </w:p>
          <w:p w14:paraId="531063CE">
            <w:pPr>
              <w:overflowPunct w:val="0"/>
              <w:topLinePunct/>
              <w:adjustRightInd w:val="0"/>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紫阳县：</w:t>
            </w:r>
            <w:r>
              <w:rPr>
                <w:rFonts w:hint="eastAsia" w:ascii="宋体" w:hAnsi="宋体" w:eastAsia="宋体" w:cs="宋体"/>
                <w:snapToGrid w:val="0"/>
                <w:color w:val="000000" w:themeColor="text1"/>
                <w:kern w:val="0"/>
                <w:sz w:val="24"/>
                <w:szCs w:val="24"/>
                <w14:textFill>
                  <w14:solidFill>
                    <w14:schemeClr w14:val="tx1"/>
                  </w14:solidFill>
                </w14:textFill>
              </w:rPr>
              <w:t>以紫阳富硒茶、修脚足浴两个百亿级产业建设为突破口，加快绿色大健康产业全链条升级，打造在全国具有一定影响力的优质生态产品供给基地、知名生态旅游目的地，创建“绿水青山就是金山银山”实践创新基地。</w:t>
            </w:r>
          </w:p>
          <w:p w14:paraId="6AF18C4A">
            <w:pPr>
              <w:overflowPunct w:val="0"/>
              <w:topLinePunct/>
              <w:adjustRightInd w:val="0"/>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岚皋县：</w:t>
            </w:r>
            <w:r>
              <w:rPr>
                <w:rFonts w:hint="eastAsia" w:ascii="宋体" w:hAnsi="宋体" w:eastAsia="宋体" w:cs="宋体"/>
                <w:snapToGrid w:val="0"/>
                <w:color w:val="000000" w:themeColor="text1"/>
                <w:kern w:val="0"/>
                <w:sz w:val="24"/>
                <w:szCs w:val="24"/>
                <w14:textFill>
                  <w14:solidFill>
                    <w14:schemeClr w14:val="tx1"/>
                  </w14:solidFill>
                </w14:textFill>
              </w:rPr>
              <w:t>做大做强生态旅游产业，加快创建南宫山5A级景区，以“一山一城一草甸”（南宫山、县城、巴山大草原）为重点，加强千层河、蜡烛山、全胜寨等景区开发，发挥岚皋“村BA”IP价值，推动休闲体育和旅居康养快速发展。推进以“芋渔水”为重点的富硒产业标准化、数字化、品牌化建设，打响“岚皋魔芋”“岚皋鲟鱼”“高端富硒矿泉水”等品牌。</w:t>
            </w:r>
          </w:p>
          <w:p w14:paraId="321C90BF">
            <w:pPr>
              <w:overflowPunct w:val="0"/>
              <w:topLinePunct/>
              <w:adjustRightInd w:val="0"/>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平利县：</w:t>
            </w:r>
            <w:r>
              <w:rPr>
                <w:rFonts w:hint="eastAsia" w:ascii="宋体" w:hAnsi="宋体" w:eastAsia="宋体" w:cs="宋体"/>
                <w:snapToGrid w:val="0"/>
                <w:color w:val="000000" w:themeColor="text1"/>
                <w:kern w:val="0"/>
                <w:sz w:val="24"/>
                <w:szCs w:val="24"/>
                <w14:textFill>
                  <w14:solidFill>
                    <w14:schemeClr w14:val="tx1"/>
                  </w14:solidFill>
                </w14:textFill>
              </w:rPr>
              <w:t>聚焦富硒茶和绞股蓝，构建加工升级、产品创新、品牌增值全链条体系。壮大生漆、中药材、养殖业等特色产业。以茶旅融合、旅居康养为主题，打造“百亿级旅居康养产业链”。建设国家生态文明建设示范区、国家乡村振兴示范县。</w:t>
            </w:r>
          </w:p>
          <w:p w14:paraId="22564C16">
            <w:pPr>
              <w:overflowPunct w:val="0"/>
              <w:topLinePunct/>
              <w:adjustRightInd w:val="0"/>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镇坪县：</w:t>
            </w:r>
            <w:r>
              <w:rPr>
                <w:rFonts w:hint="eastAsia" w:ascii="宋体" w:hAnsi="宋体" w:eastAsia="宋体" w:cs="宋体"/>
                <w:snapToGrid w:val="0"/>
                <w:color w:val="000000" w:themeColor="text1"/>
                <w:kern w:val="0"/>
                <w:sz w:val="24"/>
                <w:szCs w:val="24"/>
                <w14:textFill>
                  <w14:solidFill>
                    <w14:schemeClr w14:val="tx1"/>
                  </w14:solidFill>
                </w14:textFill>
              </w:rPr>
              <w:t>突出“巴山秘境”品牌，发展现代中医药、康养旅居产业，打造集“旅游休闲、自驾观光、山地运动、中药康养、文化研学”等功能于一体的复合型旅游经济带。建设陕渝鄂开放合作示范区。</w:t>
            </w:r>
          </w:p>
          <w:p w14:paraId="11FAEABC">
            <w:pPr>
              <w:overflowPunct w:val="0"/>
              <w:topLinePunct/>
              <w:adjustRightInd w:val="0"/>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白河县：</w:t>
            </w:r>
            <w:r>
              <w:rPr>
                <w:rFonts w:hint="eastAsia" w:ascii="宋体" w:hAnsi="宋体" w:eastAsia="宋体" w:cs="宋体"/>
                <w:snapToGrid w:val="0"/>
                <w:color w:val="000000" w:themeColor="text1"/>
                <w:kern w:val="0"/>
                <w:sz w:val="24"/>
                <w:szCs w:val="24"/>
                <w14:textFill>
                  <w14:solidFill>
                    <w14:schemeClr w14:val="tx1"/>
                  </w14:solidFill>
                </w14:textFill>
              </w:rPr>
              <w:t>发展“光皮木瓜+富硒茶饮+生态肉业”等为主的富硒食品精深加工、“饰面石材+甾体医药+</w:t>
            </w:r>
            <w:bookmarkStart w:id="56" w:name="OLE_LINK37"/>
            <w:r>
              <w:rPr>
                <w:rFonts w:hint="eastAsia" w:ascii="宋体" w:hAnsi="宋体" w:eastAsia="宋体" w:cs="宋体"/>
                <w:snapToGrid w:val="0"/>
                <w:color w:val="000000" w:themeColor="text1"/>
                <w:kern w:val="0"/>
                <w:sz w:val="24"/>
                <w:szCs w:val="24"/>
                <w14:textFill>
                  <w14:solidFill>
                    <w14:schemeClr w14:val="tx1"/>
                  </w14:solidFill>
                </w14:textFill>
              </w:rPr>
              <w:t>纺织轻工+清洁能源</w:t>
            </w:r>
            <w:bookmarkEnd w:id="56"/>
            <w:r>
              <w:rPr>
                <w:rFonts w:hint="eastAsia" w:ascii="宋体" w:hAnsi="宋体" w:eastAsia="宋体" w:cs="宋体"/>
                <w:snapToGrid w:val="0"/>
                <w:color w:val="000000" w:themeColor="text1"/>
                <w:kern w:val="0"/>
                <w:sz w:val="24"/>
                <w:szCs w:val="24"/>
                <w14:textFill>
                  <w14:solidFill>
                    <w14:schemeClr w14:val="tx1"/>
                  </w14:solidFill>
                </w14:textFill>
              </w:rPr>
              <w:t>”等为主的现代绿色制造以及“秦楚边城·水色白河”为品牌的文旅康养产业，打造安康向东开放桥头堡和汉水流域文旅康养新节点。</w:t>
            </w:r>
          </w:p>
          <w:p w14:paraId="037DEAE6">
            <w:pPr>
              <w:overflowPunct w:val="0"/>
              <w:topLinePunct/>
              <w:adjustRightInd w:val="0"/>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安康高新区：</w:t>
            </w:r>
            <w:r>
              <w:rPr>
                <w:rFonts w:hint="eastAsia" w:ascii="宋体" w:hAnsi="宋体" w:eastAsia="宋体" w:cs="宋体"/>
                <w:snapToGrid w:val="0"/>
                <w:color w:val="000000" w:themeColor="text1"/>
                <w:kern w:val="0"/>
                <w:sz w:val="24"/>
                <w:szCs w:val="24"/>
                <w14:textFill>
                  <w14:solidFill>
                    <w14:schemeClr w14:val="tx1"/>
                  </w14:solidFill>
                </w14:textFill>
              </w:rPr>
              <w:t>围绕“创新创业示范区、高新产业聚集区、现代城市新区”定位，重点发展食药康健、新型材料、数字经济三大主导产业，构建全市新质生产力核心区，打造1-2个省内有影响力、全国知名的特色产业。</w:t>
            </w:r>
          </w:p>
          <w:p w14:paraId="1FF62302">
            <w:pPr>
              <w:overflowPunct w:val="0"/>
              <w:topLinePunct/>
              <w:adjustRightInd w:val="0"/>
              <w:snapToGrid w:val="0"/>
              <w:spacing w:line="44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瀛湖生态旅游区：</w:t>
            </w:r>
            <w:r>
              <w:rPr>
                <w:rFonts w:hint="eastAsia" w:ascii="宋体" w:hAnsi="宋体" w:eastAsia="宋体" w:cs="宋体"/>
                <w:snapToGrid w:val="0"/>
                <w:color w:val="000000" w:themeColor="text1"/>
                <w:kern w:val="0"/>
                <w:sz w:val="24"/>
                <w:szCs w:val="24"/>
                <w14:textFill>
                  <w14:solidFill>
                    <w14:schemeClr w14:val="tx1"/>
                  </w14:solidFill>
                </w14:textFill>
              </w:rPr>
              <w:t>以“生态立区、旅游强区、产业兴区、开放活区”为路径，打造“画里瀛湖·梦中水乡”品牌，建设国家生态旅游示范区、国家级旅游度假区。</w:t>
            </w:r>
          </w:p>
          <w:p w14:paraId="1780C750">
            <w:pPr>
              <w:overflowPunct w:val="0"/>
              <w:topLinePunct/>
              <w:adjustRightInd w:val="0"/>
              <w:snapToGrid w:val="0"/>
              <w:spacing w:after="156" w:afterLines="50" w:line="440" w:lineRule="exact"/>
              <w:ind w:firstLine="480" w:firstLineChars="200"/>
              <w:rPr>
                <w:rFonts w:eastAsia="宋体"/>
                <w:color w:val="000000" w:themeColor="text1"/>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恒口示范区：</w:t>
            </w:r>
            <w:r>
              <w:rPr>
                <w:rFonts w:hint="eastAsia" w:ascii="宋体" w:hAnsi="宋体" w:eastAsia="宋体" w:cs="宋体"/>
                <w:snapToGrid w:val="0"/>
                <w:color w:val="000000" w:themeColor="text1"/>
                <w:kern w:val="0"/>
                <w:sz w:val="24"/>
                <w:szCs w:val="24"/>
                <w14:textFill>
                  <w14:solidFill>
                    <w14:schemeClr w14:val="tx1"/>
                  </w14:solidFill>
                </w14:textFill>
              </w:rPr>
              <w:t>聚焦毛绒玩具、现代物流、文旅康养三大主导产业，推动从“单一功能区”向“综合功能型城市行政区”蝶变，打造秦巴山区内陆双向开放物流枢纽高地、西部城乡融合深化改革试验区。</w:t>
            </w:r>
          </w:p>
        </w:tc>
      </w:tr>
    </w:tbl>
    <w:p w14:paraId="6FC62B13">
      <w:pPr>
        <w:pStyle w:val="6"/>
        <w:overflowPunct w:val="0"/>
        <w:topLinePunct/>
        <w:spacing w:before="312" w:beforeLines="100" w:after="312" w:afterLines="100"/>
        <w:rPr>
          <w:color w:val="000000" w:themeColor="text1"/>
          <w14:textFill>
            <w14:solidFill>
              <w14:schemeClr w14:val="tx1"/>
            </w14:solidFill>
          </w14:textFill>
        </w:rPr>
      </w:pPr>
      <w:bookmarkStart w:id="57" w:name="_Toc21440"/>
      <w:r>
        <w:rPr>
          <w:rFonts w:hint="eastAsia"/>
          <w:color w:val="000000" w:themeColor="text1"/>
          <w14:textFill>
            <w14:solidFill>
              <w14:schemeClr w14:val="tx1"/>
            </w14:solidFill>
          </w14:textFill>
        </w:rPr>
        <w:t>第五章 加快城乡深度融合</w:t>
      </w:r>
      <w:bookmarkEnd w:id="57"/>
    </w:p>
    <w:p w14:paraId="220CF263">
      <w:pPr>
        <w:overflowPunct w:val="0"/>
        <w:topLinePunct/>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
          <w14:textFill>
            <w14:solidFill>
              <w14:schemeClr w14:val="tx1"/>
            </w14:solidFill>
          </w14:textFill>
        </w:rPr>
        <w:t>促进城乡资源要素自由流动。</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深化实施“乡土人才”行动，统筹推动教育、医卫、文化、科技等领域人才下乡，健全城乡人才交流共享机制。合理推动工商资本下乡，制定完善农业农村投资指南和负面清单，完善财政、基金、银行、保险、担保“五位一体”的财政金融协同支农机制和多元投入保障制度。建立城市科研机构、高校与农村的技术合作平台，推动农业科技成果转化和农村传统产业升级。推进“数字乡村”与“智慧城市”对接，通过大数据、物联网等技术，打破城乡信息壁垒，实现农产品产销、农村公共服务等数据互通。</w:t>
      </w:r>
    </w:p>
    <w:p w14:paraId="02052DDA">
      <w:pPr>
        <w:overflowPunct w:val="0"/>
        <w:topLinePunct/>
        <w:snapToGrid w:val="0"/>
        <w:spacing w:line="560"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lang w:val="en"/>
          <w14:textFill>
            <w14:solidFill>
              <w14:schemeClr w14:val="tx1"/>
            </w14:solidFill>
          </w14:textFill>
        </w:rPr>
        <w:t>深化农村制度改革。</w:t>
      </w:r>
      <w:r>
        <w:rPr>
          <w:rFonts w:hint="eastAsia" w:ascii="仿宋_GB2312" w:hAnsi="方正仿宋_GB2312" w:eastAsia="仿宋_GB2312" w:cs="方正仿宋_GB2312"/>
          <w:color w:val="000000" w:themeColor="text1"/>
          <w:sz w:val="32"/>
          <w:szCs w:val="24"/>
          <w14:textFill>
            <w14:solidFill>
              <w14:schemeClr w14:val="tx1"/>
            </w14:solidFill>
          </w14:textFill>
        </w:rPr>
        <w:t>完善农村产权制度和要素市场化配置，深入推进农村集体经济“壮大培强”行动，创新农村集体经济运行机制。加强农村集体“三资”管理，借助全国农村集体资产监管平台，对现有资金、资产、资源完成权属核对并及时更新。落实《中华人民共和国土地管理法》，推进农村土地征收制度改革，完善征地民主协商程序，推进落实具体用地项目公共利益认定机制、失地农民利益多元保障机制和征地补偿安置争议解决机制。探索实施农村集体经营性建设用地入市制度，逐步完善交易规则和增值收益分配机制，推动有序入市。</w:t>
      </w:r>
    </w:p>
    <w:p w14:paraId="1ADF37E6">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推动</w:t>
      </w:r>
      <w:r>
        <w:rPr>
          <w:rFonts w:hint="eastAsia" w:ascii="楷体_GB2312" w:hAnsi="楷体_GB2312" w:eastAsia="楷体_GB2312" w:cs="楷体_GB2312"/>
          <w:b/>
          <w:bCs/>
          <w:color w:val="000000" w:themeColor="text1"/>
          <w:sz w:val="32"/>
          <w:szCs w:val="32"/>
          <w:lang w:val="en"/>
          <w14:textFill>
            <w14:solidFill>
              <w14:schemeClr w14:val="tx1"/>
            </w14:solidFill>
          </w14:textFill>
        </w:rPr>
        <w:t>城乡基本公共服务均等化。</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接续深入实施乡村建设行动，逐步提高农村基础设施完备度、公共服务便利度和人居环境舒适度，加快补齐农村现代生活条件短板，推广绿色家电、新能源汽车，发展乡村旅游和电商，不断提高农村生活品质。完善城乡教育、健康医疗服务体系，加快紧密型城乡教育共同体和县域医共体建设，完善教师、医生流动机制，推动城乡教师、医生双向流动。推动城乡养老服务事业全面发展，加强农村养老服务设施改造升级，推动农村康养联合体建设。完善公共服务投入机制，加大财政对乡村基本公共服务支持力度，并引导社会资本参与，推动城乡公共服务全面提档升级。</w:t>
      </w:r>
    </w:p>
    <w:p w14:paraId="12901EFA">
      <w:pPr>
        <w:pStyle w:val="5"/>
        <w:overflowPunct w:val="0"/>
        <w:topLinePunct/>
        <w:spacing w:before="156" w:beforeLines="50" w:after="156" w:afterLines="50"/>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63A262CD">
      <w:pPr>
        <w:pStyle w:val="5"/>
        <w:numPr>
          <w:ilvl w:val="0"/>
          <w:numId w:val="1"/>
        </w:numPr>
        <w:overflowPunct w:val="0"/>
        <w:topLinePunct/>
        <w:spacing w:before="312" w:after="0" w:afterLines="0"/>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58" w:name="_Toc1463"/>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强力推进绿色循环发展，全域提升</w:t>
      </w:r>
    </w:p>
    <w:p w14:paraId="7B405285">
      <w:pPr>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生态文明建设水平</w:t>
      </w:r>
      <w:bookmarkEnd w:id="58"/>
    </w:p>
    <w:p w14:paraId="0CEBD1E0">
      <w:pPr>
        <w:overflowPunct w:val="0"/>
        <w:topLinePunct/>
        <w:spacing w:line="520" w:lineRule="exact"/>
        <w:ind w:firstLine="640" w:firstLineChars="200"/>
        <w:jc w:val="left"/>
        <w:rPr>
          <w:rFonts w:ascii="仿宋_GB2312" w:hAnsi="方正仿宋_GB2312" w:eastAsia="仿宋_GB2312" w:cs="方正仿宋_GB2312"/>
          <w:color w:val="000000" w:themeColor="text1"/>
          <w:sz w:val="32"/>
          <w:szCs w:val="32"/>
          <w14:textFill>
            <w14:solidFill>
              <w14:schemeClr w14:val="tx1"/>
            </w14:solidFill>
          </w14:textFill>
        </w:rPr>
      </w:pPr>
    </w:p>
    <w:p w14:paraId="6CC34624">
      <w:pPr>
        <w:overflowPunct w:val="0"/>
        <w:topLinePunct/>
        <w:spacing w:line="560" w:lineRule="exact"/>
        <w:ind w:firstLine="640" w:firstLineChars="200"/>
        <w:jc w:val="left"/>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color w:val="000000" w:themeColor="text1"/>
          <w:sz w:val="32"/>
          <w:szCs w:val="32"/>
          <w14:textFill>
            <w14:solidFill>
              <w14:schemeClr w14:val="tx1"/>
            </w14:solidFill>
          </w14:textFill>
        </w:rPr>
        <w:t>深入贯彻习近平生态文明思想，扎实践行绿水青山就是金山银山理念，以建设生态城市为引领，推动生产、生活、生态协调发展，绘就人与自然和谐共生的美丽画卷。</w:t>
      </w:r>
    </w:p>
    <w:p w14:paraId="330D6FEE">
      <w:pPr>
        <w:pStyle w:val="6"/>
        <w:overflowPunct w:val="0"/>
        <w:topLinePunct/>
        <w:spacing w:before="312" w:beforeLines="100" w:after="312" w:afterLines="100" w:line="480" w:lineRule="exact"/>
        <w:rPr>
          <w:color w:val="000000" w:themeColor="text1"/>
          <w14:textFill>
            <w14:solidFill>
              <w14:schemeClr w14:val="tx1"/>
            </w14:solidFill>
          </w14:textFill>
        </w:rPr>
      </w:pPr>
      <w:bookmarkStart w:id="59" w:name="_Toc3841"/>
      <w:bookmarkStart w:id="60" w:name="_Toc24202"/>
      <w:r>
        <w:rPr>
          <w:rFonts w:hint="eastAsia"/>
          <w:color w:val="000000" w:themeColor="text1"/>
          <w14:textFill>
            <w14:solidFill>
              <w14:schemeClr w14:val="tx1"/>
            </w14:solidFill>
          </w14:textFill>
        </w:rPr>
        <w:t>第一章 聚力秦巴生态环境保护</w:t>
      </w:r>
      <w:bookmarkEnd w:id="59"/>
    </w:p>
    <w:p w14:paraId="28F25D23">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bookmarkStart w:id="61" w:name="_Toc679"/>
      <w:r>
        <w:rPr>
          <w:rFonts w:hint="eastAsia" w:ascii="楷体_GB2312" w:hAnsi="楷体_GB2312" w:eastAsia="楷体_GB2312" w:cs="楷体_GB2312"/>
          <w:b/>
          <w:bCs/>
          <w:color w:val="000000" w:themeColor="text1"/>
          <w:sz w:val="32"/>
          <w:szCs w:val="32"/>
          <w14:textFill>
            <w14:solidFill>
              <w14:schemeClr w14:val="tx1"/>
            </w14:solidFill>
          </w14:textFill>
        </w:rPr>
        <w:t>加强生态环境保护。</w:t>
      </w:r>
      <w:r>
        <w:rPr>
          <w:rFonts w:hint="eastAsia" w:ascii="仿宋_GB2312" w:hAnsi="方正仿宋_GB2312" w:eastAsia="仿宋_GB2312" w:cs="方正仿宋_GB2312"/>
          <w:color w:val="000000" w:themeColor="text1"/>
          <w:spacing w:val="-5"/>
          <w:sz w:val="32"/>
          <w:szCs w:val="32"/>
          <w14:textFill>
            <w14:solidFill>
              <w14:schemeClr w14:val="tx1"/>
            </w14:solidFill>
          </w14:textFill>
        </w:rPr>
        <w:t>坚持山水林田湖草沙一体化保护和系统治理，全面加强秦岭区域建设项目审批管理。持续加强森林资源保护，提高森林生态资源可利用价值，推进“林长制”建设，落实森林保护责任。完善自然保护地体系，稳步推进自然保护地整合优化，加快建立以“秦岭国家公园为核心、自然保护区为基础、自然公园为补充”的自然保护地体系。持续用力抓好生物多样性保护，科学保护开发利用秦巴山区林草种质资源</w:t>
      </w:r>
      <w:r>
        <w:rPr>
          <w:rFonts w:hint="eastAsia" w:ascii="仿宋_GB2312" w:hAnsi="方正仿宋_GB2312" w:eastAsia="仿宋_GB2312" w:cs="方正仿宋_GB2312"/>
          <w:color w:val="000000" w:themeColor="text1"/>
          <w:spacing w:val="-3"/>
          <w:sz w:val="32"/>
          <w:szCs w:val="32"/>
          <w14:textFill>
            <w14:solidFill>
              <w14:schemeClr w14:val="tx1"/>
            </w14:solidFill>
          </w14:textFill>
        </w:rPr>
        <w:t>，保护好汉江湿地、古树名木和野生动植物，推进珍稀濒危野生动植物保护繁育。强化区域协作保护和研究，完善秦岭跨区域生态保护协同合作机制。</w:t>
      </w:r>
      <w:bookmarkEnd w:id="61"/>
    </w:p>
    <w:p w14:paraId="65D3A1AF">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加快生态治理修复。</w:t>
      </w:r>
      <w:r>
        <w:rPr>
          <w:rFonts w:hint="eastAsia" w:ascii="仿宋_GB2312" w:hAnsi="方正仿宋_GB2312" w:eastAsia="仿宋_GB2312" w:cs="方正仿宋_GB2312"/>
          <w:color w:val="000000" w:themeColor="text1"/>
          <w:sz w:val="32"/>
          <w:szCs w:val="32"/>
          <w14:textFill>
            <w14:solidFill>
              <w14:schemeClr w14:val="tx1"/>
            </w14:solidFill>
          </w14:textFill>
        </w:rPr>
        <w:t>以生态保护修复、国土绿化、水土流失治理等重点工程为抓手，加强天然林保护与修复，做好森林质量提升、森林草原防灭火和林业有害生物防治工作。规范矿山科学有序开采，推进绿色矿山建设，强化重点污染区域排查整治，加强生态修复和复垦复绿，巩固矿山治理成效，恢复矿山生态环境。落实绿色矿山标准与评价制度，加强在产矿山企业监管，严防新污染与生态破坏。加强多方联动、条块结合，畅通跨部门数据共享机制，凝聚生态保护修复合力。</w:t>
      </w:r>
    </w:p>
    <w:p w14:paraId="00F4707D">
      <w:pPr>
        <w:overflowPunct w:val="0"/>
        <w:topLinePunct/>
        <w:spacing w:line="560" w:lineRule="exact"/>
        <w:ind w:firstLine="643" w:firstLineChars="200"/>
        <w:rPr>
          <w:rFonts w:ascii="仿宋_GB2312" w:hAnsi="方正仿宋_GB2312" w:eastAsia="仿宋_GB2312" w:cs="方正仿宋_GB2312"/>
          <w:color w:val="000000" w:themeColor="text1"/>
          <w:sz w:val="32"/>
          <w:szCs w:val="32"/>
          <w:lang w:bidi="ar"/>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筑牢生态安全屏障。</w:t>
      </w:r>
      <w:r>
        <w:rPr>
          <w:rFonts w:hint="eastAsia" w:ascii="仿宋_GB2312" w:hAnsi="仿宋_GB2312" w:eastAsia="仿宋_GB2312" w:cs="仿宋_GB2312"/>
          <w:color w:val="000000" w:themeColor="text1"/>
          <w:sz w:val="32"/>
          <w:szCs w:val="32"/>
          <w14:textFill>
            <w14:solidFill>
              <w14:schemeClr w14:val="tx1"/>
            </w14:solidFill>
          </w14:textFill>
        </w:rPr>
        <w:t>严格生态保护红线监督管理，强化生态安全体系建设。持续健全秦岭常态化长效化保护体制机制，严格落实秦岭生态环境保护条例和总体规划，一体推进条例护山、规划控山、智慧管山、系统治山，坚决守护好秦岭生态红线、安全底线，持续提升秦岭和巴山生态功能。</w:t>
      </w:r>
      <w:r>
        <w:rPr>
          <w:rFonts w:hint="eastAsia" w:ascii="仿宋_GB2312" w:hAnsi="方正仿宋_GB2312" w:eastAsia="仿宋_GB2312" w:cs="方正仿宋_GB2312"/>
          <w:color w:val="000000" w:themeColor="text1"/>
          <w:sz w:val="32"/>
          <w:szCs w:val="32"/>
          <w:lang w:bidi="ar"/>
          <w14:textFill>
            <w14:solidFill>
              <w14:schemeClr w14:val="tx1"/>
            </w14:solidFill>
          </w14:textFill>
        </w:rPr>
        <w:t>完善责任落实机制，开展秦岭生态环境保护审计，推进领导干部自然资源资产离任审计。</w:t>
      </w:r>
      <w:r>
        <w:rPr>
          <w:rFonts w:hint="eastAsia" w:ascii="仿宋_GB2312" w:hAnsi="仿宋_GB2312" w:eastAsia="仿宋_GB2312" w:cs="仿宋_GB2312"/>
          <w:color w:val="000000" w:themeColor="text1"/>
          <w:sz w:val="32"/>
          <w:szCs w:val="32"/>
          <w14:textFill>
            <w14:solidFill>
              <w14:schemeClr w14:val="tx1"/>
            </w14:solidFill>
          </w14:textFill>
        </w:rPr>
        <w:t>加强重要生态空间监管，以自然保护地、生态保护红线等重要生态空间为重点，依法统一开展生态环境保护执法。</w:t>
      </w:r>
      <w:r>
        <w:rPr>
          <w:rFonts w:hint="eastAsia" w:ascii="仿宋_GB2312" w:hAnsi="方正仿宋_GB2312" w:eastAsia="仿宋_GB2312" w:cs="方正仿宋_GB2312"/>
          <w:color w:val="000000" w:themeColor="text1"/>
          <w:sz w:val="32"/>
          <w:szCs w:val="32"/>
          <w:lang w:bidi="ar"/>
          <w14:textFill>
            <w14:solidFill>
              <w14:schemeClr w14:val="tx1"/>
            </w14:solidFill>
          </w14:textFill>
        </w:rPr>
        <w:t>持续推进“数字秦岭”建设，搭建网格化信息化平台，健全“空天地网”一体化智能监测监管体系，探索智慧管护秦岭新模式。</w:t>
      </w:r>
    </w:p>
    <w:p w14:paraId="432AFB39">
      <w:pPr>
        <w:overflowPunct w:val="0"/>
        <w:topLinePunct/>
        <w:spacing w:line="560" w:lineRule="exact"/>
        <w:ind w:firstLine="640" w:firstLineChars="200"/>
        <w:rPr>
          <w:rFonts w:ascii="仿宋_GB2312" w:hAnsi="方正仿宋_GB2312" w:eastAsia="仿宋_GB2312" w:cs="方正仿宋_GB2312"/>
          <w:color w:val="000000" w:themeColor="text1"/>
          <w:sz w:val="32"/>
          <w:szCs w:val="32"/>
          <w:lang w:bidi="ar"/>
          <w14:textFill>
            <w14:solidFill>
              <w14:schemeClr w14:val="tx1"/>
            </w14:solidFill>
          </w14:textFill>
        </w:rPr>
      </w:pPr>
    </w:p>
    <w:tbl>
      <w:tblPr>
        <w:tblStyle w:val="34"/>
        <w:tblpPr w:leftFromText="181" w:rightFromText="181" w:vertAnchor="text" w:horzAnchor="page" w:tblpX="1583"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DAA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vAlign w:val="center"/>
          </w:tcPr>
          <w:p w14:paraId="35024C85">
            <w:pPr>
              <w:pStyle w:val="31"/>
              <w:overflowPunct w:val="0"/>
              <w:topLinePunct/>
              <w:spacing w:after="0" w:line="400" w:lineRule="exact"/>
              <w:ind w:firstLine="0" w:firstLineChars="0"/>
              <w:jc w:val="center"/>
              <w:rPr>
                <w:rFonts w:ascii="Times New Roman" w:hAnsi="Times New Roman" w:eastAsia="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专栏14  秦岭和巴山生态环境保护工程</w:t>
            </w:r>
          </w:p>
        </w:tc>
      </w:tr>
      <w:tr w14:paraId="4D63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tcPr>
          <w:p w14:paraId="489C2D2C">
            <w:pPr>
              <w:pStyle w:val="31"/>
              <w:overflowPunct w:val="0"/>
              <w:topLinePunct/>
              <w:adjustRightInd w:val="0"/>
              <w:snapToGrid w:val="0"/>
              <w:spacing w:before="156" w:beforeLines="50" w:after="0" w:line="440" w:lineRule="exact"/>
              <w:ind w:firstLine="480" w:firstLineChars="200"/>
              <w:rPr>
                <w:rFonts w:ascii="Times New Roman" w:hAnsi="Times New Roman"/>
                <w:color w:val="000000" w:themeColor="text1"/>
                <w:sz w:val="24"/>
                <w14:textFill>
                  <w14:solidFill>
                    <w14:schemeClr w14:val="tx1"/>
                  </w14:solidFill>
                </w14:textFill>
              </w:rPr>
            </w:pPr>
            <w:r>
              <w:rPr>
                <w:rFonts w:hint="eastAsia" w:ascii="楷体_GB2312" w:hAnsi="楷体_GB2312" w:eastAsia="楷体_GB2312" w:cs="楷体_GB2312"/>
                <w:snapToGrid w:val="0"/>
                <w:color w:val="000000" w:themeColor="text1"/>
                <w:kern w:val="0"/>
                <w:sz w:val="24"/>
                <w14:textFill>
                  <w14:solidFill>
                    <w14:schemeClr w14:val="tx1"/>
                  </w14:solidFill>
                </w14:textFill>
              </w:rPr>
              <w:t>（一）生态治理修复工程。</w:t>
            </w:r>
            <w:r>
              <w:rPr>
                <w:rFonts w:hint="eastAsia" w:ascii="Times New Roman" w:hAnsi="Times New Roman"/>
                <w:color w:val="000000" w:themeColor="text1"/>
                <w:sz w:val="24"/>
                <w14:textFill>
                  <w14:solidFill>
                    <w14:schemeClr w14:val="tx1"/>
                  </w14:solidFill>
                </w14:textFill>
              </w:rPr>
              <w:t xml:space="preserve">重点在汉江沿岸、秦巴山区开展中幼林抚育、退化林修复等工作，实施营造林200万亩。加快推进陕西省秦巴山区汉江丹江流域中央财政国土绿化示范项目，继续建设秦岭中段（南麓）水源涵养和生物多样性保护恢复项目（二期）、天然林保护中长期规划项目。推进秦岭国家公园、“数字秦岭”项目建设。 </w:t>
            </w:r>
          </w:p>
          <w:p w14:paraId="0A7E3C2A">
            <w:pPr>
              <w:pStyle w:val="31"/>
              <w:overflowPunct w:val="0"/>
              <w:topLinePunct/>
              <w:adjustRightInd w:val="0"/>
              <w:snapToGrid w:val="0"/>
              <w:spacing w:after="0" w:line="440" w:lineRule="exact"/>
              <w:ind w:firstLine="480" w:firstLineChars="200"/>
              <w:rPr>
                <w:rFonts w:ascii="Times New Roman" w:hAnsi="Times New Roman"/>
                <w:color w:val="000000" w:themeColor="text1"/>
                <w:sz w:val="24"/>
                <w14:textFill>
                  <w14:solidFill>
                    <w14:schemeClr w14:val="tx1"/>
                  </w14:solidFill>
                </w14:textFill>
              </w:rPr>
            </w:pPr>
            <w:r>
              <w:rPr>
                <w:rFonts w:hint="eastAsia" w:ascii="楷体_GB2312" w:hAnsi="楷体_GB2312" w:eastAsia="楷体_GB2312" w:cs="楷体_GB2312"/>
                <w:snapToGrid w:val="0"/>
                <w:color w:val="000000" w:themeColor="text1"/>
                <w:kern w:val="0"/>
                <w:sz w:val="24"/>
                <w14:textFill>
                  <w14:solidFill>
                    <w14:schemeClr w14:val="tx1"/>
                  </w14:solidFill>
                </w14:textFill>
              </w:rPr>
              <w:t>（二）自然保护地及生物多样性保护工程。</w:t>
            </w:r>
            <w:r>
              <w:rPr>
                <w:rFonts w:hint="eastAsia" w:ascii="宋体" w:hAnsi="宋体" w:cs="宋体"/>
                <w:color w:val="000000" w:themeColor="text1"/>
                <w:sz w:val="24"/>
                <w14:textFill>
                  <w14:solidFill>
                    <w14:schemeClr w14:val="tx1"/>
                  </w14:solidFill>
                </w14:textFill>
              </w:rPr>
              <w:t>持续加强自然保护区、国家公园等自然保护地建设管理，加快建设大数据平台、野生动物救护中心（站点）、鸟类观测站点。加强秦巴山区林草种质资源保护开发利用，深化珍稀、濒危种质源头保护，推进资源鉴定评价工作，推动育种创新利用和产业转化，建立原地保护监测点10个，加快漆树国家级林草种质资源库建设。</w:t>
            </w:r>
          </w:p>
          <w:p w14:paraId="270F7F22">
            <w:pPr>
              <w:pStyle w:val="32"/>
              <w:overflowPunct w:val="0"/>
              <w:topLinePunct/>
              <w:adjustRightInd w:val="0"/>
              <w:snapToGrid w:val="0"/>
              <w:spacing w:after="0" w:line="440" w:lineRule="exact"/>
              <w:ind w:left="0" w:leftChars="0" w:firstLine="48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（三）秦巴生态保护气象保障。</w:t>
            </w:r>
            <w:r>
              <w:rPr>
                <w:rFonts w:hint="eastAsia" w:ascii="宋体" w:hAnsi="宋体" w:eastAsia="宋体" w:cs="宋体"/>
                <w:color w:val="000000" w:themeColor="text1"/>
                <w:sz w:val="24"/>
                <w:szCs w:val="24"/>
                <w14:textFill>
                  <w14:solidFill>
                    <w14:schemeClr w14:val="tx1"/>
                  </w14:solidFill>
                </w14:textFill>
              </w:rPr>
              <w:t>强化生态环境气象监测，开展生态气候资源评估，做好秦岭和巴山森林草原防灭火等气象保障服务工作。</w:t>
            </w:r>
          </w:p>
          <w:p w14:paraId="285594CD">
            <w:pPr>
              <w:pStyle w:val="32"/>
              <w:overflowPunct w:val="0"/>
              <w:topLinePunct/>
              <w:adjustRightInd w:val="0"/>
              <w:snapToGrid w:val="0"/>
              <w:spacing w:after="156" w:afterLines="50" w:line="440" w:lineRule="exact"/>
              <w:ind w:left="0" w:leftChars="0" w:firstLine="480"/>
              <w:rPr>
                <w:rFonts w:ascii="Times New Roman" w:hAnsi="Times New Roman" w:eastAsia="宋体" w:cs="Times New Roman"/>
                <w:color w:val="000000" w:themeColor="text1"/>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（四）林业有害生物防治。</w:t>
            </w:r>
            <w:r>
              <w:rPr>
                <w:rFonts w:hint="eastAsia" w:ascii="Times New Roman" w:hAnsi="Times New Roman" w:eastAsia="宋体" w:cs="Times New Roman"/>
                <w:color w:val="000000" w:themeColor="text1"/>
                <w:sz w:val="24"/>
                <w:szCs w:val="24"/>
                <w14:textFill>
                  <w14:solidFill>
                    <w14:schemeClr w14:val="tx1"/>
                  </w14:solidFill>
                </w14:textFill>
              </w:rPr>
              <w:t>全市实施松材线虫病无人机飞防10万亩，树干注药4万亩，生物防治1万亩。</w:t>
            </w:r>
          </w:p>
        </w:tc>
      </w:tr>
    </w:tbl>
    <w:p w14:paraId="6A8FA304">
      <w:pPr>
        <w:pStyle w:val="6"/>
        <w:overflowPunct w:val="0"/>
        <w:topLinePunct/>
        <w:spacing w:before="468" w:beforeLines="150" w:after="312" w:afterLines="100"/>
        <w:rPr>
          <w:color w:val="000000" w:themeColor="text1"/>
          <w14:textFill>
            <w14:solidFill>
              <w14:schemeClr w14:val="tx1"/>
            </w14:solidFill>
          </w14:textFill>
        </w:rPr>
      </w:pPr>
      <w:bookmarkStart w:id="62" w:name="_Toc28609"/>
      <w:r>
        <w:rPr>
          <w:rFonts w:hint="eastAsia"/>
          <w:color w:val="000000" w:themeColor="text1"/>
          <w14:textFill>
            <w14:solidFill>
              <w14:schemeClr w14:val="tx1"/>
            </w14:solidFill>
          </w14:textFill>
        </w:rPr>
        <w:t>第二章 共护一泓清水永续北上</w:t>
      </w:r>
      <w:bookmarkEnd w:id="62"/>
    </w:p>
    <w:p w14:paraId="141291A3">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加快汉江流域生态治理。</w:t>
      </w:r>
      <w:r>
        <w:rPr>
          <w:rFonts w:hint="eastAsia" w:ascii="仿宋_GB2312" w:hAnsi="仿宋_GB2312" w:eastAsia="仿宋_GB2312" w:cs="仿宋_GB2312"/>
          <w:color w:val="000000" w:themeColor="text1"/>
          <w:sz w:val="32"/>
          <w:szCs w:val="32"/>
          <w14:textFill>
            <w14:solidFill>
              <w14:schemeClr w14:val="tx1"/>
            </w14:solidFill>
          </w14:textFill>
        </w:rPr>
        <w:t>推进汉江干支流综合治理，严格管控工业污染、农业面源污染和生活污水，有序恢复自然生态，不断提升生态功能。持续攻坚重点区域治理，全面完成蒿坪河流域污染综合治理任务，强化沿河湖植被保护与水土流失治理，严格水域岸线空间管控，提高河湖自然岸线率。实施小流域水土流失综合治理，推广生态护坡和植被修复技术，加大瀛湖、月河等重点水域湿地保护与修复，提升重点流域水环境质量。加强流域水污染综合防治，推进城镇污水处理设施建设与升级改造，加强污水收集管网建设与雨污分流改造。严格流域水资源保护与管理，深化落实河湖长制，常态化推进河湖“清四乱”，统筹推进河湖综合治理、系统治理、源头治理。巩固饮用水水源保护成效，持续推进县级及以上和农村集中式饮用水源地规范化建设工作和环境问题整治，加快补齐水源保护短板。到2030年，县级以上集中式饮用水水源地达标率稳定保持在100%。</w:t>
      </w:r>
    </w:p>
    <w:p w14:paraId="67D154E4">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强化水资源高效利用。</w:t>
      </w:r>
      <w:r>
        <w:rPr>
          <w:rFonts w:hint="eastAsia" w:ascii="仿宋_GB2312" w:hAnsi="仿宋_GB2312" w:eastAsia="仿宋_GB2312" w:cs="仿宋_GB2312"/>
          <w:color w:val="000000" w:themeColor="text1"/>
          <w:sz w:val="32"/>
          <w:szCs w:val="32"/>
          <w14:textFill>
            <w14:solidFill>
              <w14:schemeClr w14:val="tx1"/>
            </w14:solidFill>
          </w14:textFill>
        </w:rPr>
        <w:t>实施农业节水增效工程，推进新建灌区及中小型灌区节水改造，完善农业灌溉用水定额标准，着力提升灌区供水保障能力，</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推广应用高效节水灌溉技术</w:t>
      </w:r>
      <w:r>
        <w:rPr>
          <w:rFonts w:hint="eastAsia" w:ascii="仿宋_GB2312" w:hAnsi="仿宋_GB2312" w:eastAsia="仿宋_GB2312" w:cs="仿宋_GB2312"/>
          <w:color w:val="000000" w:themeColor="text1"/>
          <w:sz w:val="32"/>
          <w:szCs w:val="32"/>
          <w14:textFill>
            <w14:solidFill>
              <w14:schemeClr w14:val="tx1"/>
            </w14:solidFill>
          </w14:textFill>
        </w:rPr>
        <w:t>。实施工业节水减排工程，强化重点行业和用水大户管理，运用好用水定额、节水诊断等标准。拓宽再生水利用渠道，提高重复利用率。加快工业节水示范工程建设，开展节水型企业和园区创建，推广先进节水工艺、技术和装备，加大节水技改力度，实施城镇节水降损工程。加强城市排水与污水处理工作，推进城市污水处理厂升级改造，加大再生水管网建设力度，提高再生水水质、拓宽利用场景和畅通取水通道。加强节水宣传与公众参与，深化节水型社会建设。</w:t>
      </w:r>
    </w:p>
    <w:p w14:paraId="59D94B54">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提升流域水源涵养能力。</w:t>
      </w:r>
      <w:r>
        <w:rPr>
          <w:rFonts w:hint="eastAsia" w:ascii="仿宋_GB2312" w:hAnsi="仿宋_GB2312" w:eastAsia="仿宋_GB2312" w:cs="仿宋_GB2312"/>
          <w:color w:val="000000" w:themeColor="text1"/>
          <w:sz w:val="32"/>
          <w:szCs w:val="32"/>
          <w14:textFill>
            <w14:solidFill>
              <w14:schemeClr w14:val="tx1"/>
            </w14:solidFill>
          </w14:textFill>
        </w:rPr>
        <w:t>持续开展重点河流湖库生态环境保护治理和长江十年禁渔工作，增强水体自净能力。全力保障丹江口库区上游水质安全，优化全域用水管理，守护南水北调源头活水。有效配置水资源，有序实施水源工程，构建以天然河湖水系为骨架的现代水网，持续提升水源涵养功能。加快建设汉江水质智慧监测平台，完善水质安全预警体系，提升水质预警响应速度。统筹推进水陆污染治理与生态保护修复，实施差异化治理。完善流域协作机制，实施联合监测、联合执法、应急联动、信息共享，以流域共治守护碧水长流。</w:t>
      </w:r>
    </w:p>
    <w:bookmarkEnd w:id="60"/>
    <w:p w14:paraId="213774E3">
      <w:pPr>
        <w:pStyle w:val="6"/>
        <w:overflowPunct w:val="0"/>
        <w:topLinePunct/>
        <w:spacing w:before="312" w:beforeLines="100" w:after="312" w:afterLines="100"/>
        <w:jc w:val="center"/>
        <w:rPr>
          <w:color w:val="000000" w:themeColor="text1"/>
          <w14:textFill>
            <w14:solidFill>
              <w14:schemeClr w14:val="tx1"/>
            </w14:solidFill>
          </w14:textFill>
        </w:rPr>
      </w:pPr>
      <w:bookmarkStart w:id="63" w:name="_Toc4313"/>
      <w:bookmarkStart w:id="64" w:name="_Toc2329"/>
      <w:r>
        <w:rPr>
          <w:rFonts w:hint="eastAsia"/>
          <w:color w:val="000000" w:themeColor="text1"/>
          <w14:textFill>
            <w14:solidFill>
              <w14:schemeClr w14:val="tx1"/>
            </w14:solidFill>
          </w14:textFill>
        </w:rPr>
        <w:t xml:space="preserve">第三章 </w:t>
      </w:r>
      <w:bookmarkEnd w:id="63"/>
      <w:r>
        <w:rPr>
          <w:rFonts w:hint="eastAsia"/>
          <w:color w:val="000000" w:themeColor="text1"/>
          <w14:textFill>
            <w14:solidFill>
              <w14:schemeClr w14:val="tx1"/>
            </w14:solidFill>
          </w14:textFill>
        </w:rPr>
        <w:t>持续守好安康蓝天净土</w:t>
      </w:r>
      <w:bookmarkEnd w:id="64"/>
    </w:p>
    <w:p w14:paraId="57274298">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扎实推进大气污染治理。</w:t>
      </w:r>
      <w:r>
        <w:rPr>
          <w:rFonts w:hint="eastAsia" w:ascii="仿宋_GB2312" w:hAnsi="方正仿宋_GB2312" w:eastAsia="仿宋_GB2312" w:cs="方正仿宋_GB2312"/>
          <w:color w:val="000000" w:themeColor="text1"/>
          <w:sz w:val="32"/>
          <w:szCs w:val="32"/>
          <w14:textFill>
            <w14:solidFill>
              <w14:schemeClr w14:val="tx1"/>
            </w14:solidFill>
          </w14:textFill>
        </w:rPr>
        <w:t>重点推进水泥、化工、砖瓦、陶瓷、工业涂装、包装印刷等重点行业监管、治理工作，强化重点行业和重点企业源头管控，实现工业污染源稳定达标排放。加强大气污染监测能力建设，强化监测数据和污染清单运用，提高预警和应对能力，推动区域联防联控、协同减排。持续打好“减煤、控车、抑尘、治源、禁燃、增绿”组合拳，严格管控扬尘、餐饮油烟、机动车尾气、挥发性有机物、烟花爆竹、秸秆焚烧等污染源，推进区域大气污染联防联控，完善重污染天气应对体系，确保空气质量始终排名全省前列。加强噪声污染防治，严格噪声源头监管，持续改善声环境质量。</w:t>
      </w:r>
    </w:p>
    <w:p w14:paraId="001F09FC">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深入开展土壤污染治理。</w:t>
      </w:r>
      <w:r>
        <w:rPr>
          <w:rFonts w:hint="eastAsia" w:ascii="仿宋_GB2312" w:hAnsi="方正仿宋_GB2312" w:eastAsia="仿宋_GB2312" w:cs="方正仿宋_GB2312"/>
          <w:color w:val="000000" w:themeColor="text1"/>
          <w:sz w:val="32"/>
          <w:szCs w:val="32"/>
          <w14:textFill>
            <w14:solidFill>
              <w14:schemeClr w14:val="tx1"/>
            </w14:solidFill>
          </w14:textFill>
        </w:rPr>
        <w:t>加强土壤污染源头防控，完善生态环境分区管控体系。严格重点建设用地环境准入，落实土壤污染状况调查评审制度。推进产业绿色转型与清洁生产，强化土壤及地下水污染相关环节的管理要求，严格执行重点污染物特别排放限值。有序开展重金属环境安全隐患排查，分阶段实施整治。严格环境监管重点单位名录管理，确保土壤污染重点监管单位和地下水污染防治重点排污单位应纳尽纳。加强优质耕地后备资源、永久基本农田和高标准农田集中区域土壤污染防控，扎实推进受污染耕地安全利用和严格管控，分阶段开展农用地土壤重金属污染溯源及整治，实现农用地土壤污染源头防控和安全利用。</w:t>
      </w:r>
    </w:p>
    <w:p w14:paraId="4F7D22D4">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持续加强固体废弃物污染治理。</w:t>
      </w:r>
      <w:r>
        <w:rPr>
          <w:rFonts w:hint="eastAsia" w:ascii="仿宋_GB2312" w:hAnsi="方正仿宋_GB2312" w:eastAsia="仿宋_GB2312" w:cs="方正仿宋_GB2312"/>
          <w:color w:val="000000" w:themeColor="text1"/>
          <w:sz w:val="32"/>
          <w:szCs w:val="32"/>
          <w14:textFill>
            <w14:solidFill>
              <w14:schemeClr w14:val="tx1"/>
            </w14:solidFill>
          </w14:textFill>
        </w:rPr>
        <w:t>加强工业固体废物源头减量，推行分类收集贮存，开展非法倾倒处置专项整治行动，遏制环境违法行为。强化危险废物规范化管理，建立危险废物和环境重点监管单位清单，严格落实管理计划、申报登记、转移联单等制度。加强城镇固体废物管控，建立固废回收和循环利用体系，提升生活垃圾、建筑垃圾等集中处置和综合利用能力。推进塑料污染治理与快递包装绿色转型，推广“以竹代塑”，促进塑料制品源头减量，减少白色污染。持续推进农林固体废物资源化利用。</w:t>
      </w:r>
    </w:p>
    <w:p w14:paraId="4119BC4D">
      <w:pPr>
        <w:overflowPunct w:val="0"/>
        <w:topLinePunct/>
        <w:spacing w:line="574" w:lineRule="exact"/>
        <w:ind w:firstLine="640" w:firstLineChars="200"/>
        <w:rPr>
          <w:rFonts w:ascii="仿宋_GB2312" w:hAnsi="方正仿宋_GB2312" w:eastAsia="仿宋_GB2312" w:cs="方正仿宋_GB2312"/>
          <w:color w:val="000000" w:themeColor="text1"/>
          <w:sz w:val="32"/>
          <w:szCs w:val="32"/>
          <w14:textFill>
            <w14:solidFill>
              <w14:schemeClr w14:val="tx1"/>
            </w14:solidFill>
          </w14:textFill>
        </w:rPr>
      </w:pP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B9D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5E75D87F">
            <w:pPr>
              <w:pStyle w:val="31"/>
              <w:overflowPunct w:val="0"/>
              <w:topLinePunct/>
              <w:spacing w:after="0" w:line="400" w:lineRule="exact"/>
              <w:ind w:firstLine="0" w:firstLineChars="0"/>
              <w:jc w:val="center"/>
              <w:rPr>
                <w:rFonts w:ascii="Times New Roman" w:hAnsi="Times New Roman" w:eastAsia="方正仿宋_GB2312"/>
                <w:color w:val="000000" w:themeColor="text1"/>
                <w:sz w:val="28"/>
                <w:szCs w:val="28"/>
                <w14:textFill>
                  <w14:solidFill>
                    <w14:schemeClr w14:val="tx1"/>
                  </w14:solidFill>
                </w14:textFill>
              </w:rPr>
            </w:pPr>
            <w:bookmarkStart w:id="65" w:name="_Toc7804"/>
            <w:r>
              <w:rPr>
                <w:rFonts w:hint="eastAsia" w:ascii="黑体" w:hAnsi="黑体" w:eastAsia="黑体" w:cs="黑体"/>
                <w:color w:val="000000" w:themeColor="text1"/>
                <w:sz w:val="28"/>
                <w:szCs w:val="28"/>
                <w14:textFill>
                  <w14:solidFill>
                    <w14:schemeClr w14:val="tx1"/>
                  </w14:solidFill>
                </w14:textFill>
              </w:rPr>
              <w:t>专栏15  污染防治工程</w:t>
            </w:r>
          </w:p>
        </w:tc>
      </w:tr>
      <w:tr w14:paraId="02B8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5EDD8965">
            <w:pPr>
              <w:pStyle w:val="31"/>
              <w:overflowPunct w:val="0"/>
              <w:topLinePunct/>
              <w:adjustRightInd w:val="0"/>
              <w:snapToGrid w:val="0"/>
              <w:spacing w:before="156" w:beforeLines="50" w:after="0" w:line="420" w:lineRule="exact"/>
              <w:ind w:firstLine="480" w:firstLineChars="200"/>
              <w:rPr>
                <w:rFonts w:ascii="宋体" w:hAnsi="宋体" w:cs="宋体"/>
                <w:color w:val="000000" w:themeColor="text1"/>
                <w:sz w:val="24"/>
                <w14:textFill>
                  <w14:solidFill>
                    <w14:schemeClr w14:val="tx1"/>
                  </w14:solidFill>
                </w14:textFill>
              </w:rPr>
            </w:pPr>
            <w:r>
              <w:rPr>
                <w:rFonts w:hint="eastAsia" w:ascii="楷体_GB2312" w:hAnsi="楷体_GB2312" w:eastAsia="楷体_GB2312" w:cs="楷体_GB2312"/>
                <w:snapToGrid w:val="0"/>
                <w:color w:val="000000" w:themeColor="text1"/>
                <w:kern w:val="0"/>
                <w:sz w:val="24"/>
                <w14:textFill>
                  <w14:solidFill>
                    <w14:schemeClr w14:val="tx1"/>
                  </w14:solidFill>
                </w14:textFill>
              </w:rPr>
              <w:t>（一）大气污染防治。</w:t>
            </w:r>
            <w:r>
              <w:rPr>
                <w:rFonts w:hint="eastAsia" w:ascii="宋体" w:hAnsi="宋体" w:cs="宋体"/>
                <w:color w:val="000000" w:themeColor="text1"/>
                <w:sz w:val="24"/>
                <w14:textFill>
                  <w14:solidFill>
                    <w14:schemeClr w14:val="tx1"/>
                  </w14:solidFill>
                </w14:textFill>
              </w:rPr>
              <w:t>开展细颗粒物（</w:t>
            </w:r>
            <w:r>
              <w:rPr>
                <w:rFonts w:ascii="Times New Roman" w:hAnsi="Times New Roman"/>
                <w:color w:val="000000" w:themeColor="text1"/>
                <w:sz w:val="24"/>
                <w14:textFill>
                  <w14:solidFill>
                    <w14:schemeClr w14:val="tx1"/>
                  </w14:solidFill>
                </w14:textFill>
              </w:rPr>
              <w:t>PM</w:t>
            </w:r>
            <w:r>
              <w:rPr>
                <w:rFonts w:ascii="Times New Roman" w:hAnsi="Times New Roman"/>
                <w:color w:val="000000" w:themeColor="text1"/>
                <w:sz w:val="24"/>
                <w:vertAlign w:val="subscript"/>
                <w14:textFill>
                  <w14:solidFill>
                    <w14:schemeClr w14:val="tx1"/>
                  </w14:solidFill>
                </w14:textFill>
              </w:rPr>
              <w:t>2.5</w:t>
            </w:r>
            <w:r>
              <w:rPr>
                <w:rFonts w:hint="eastAsia" w:ascii="宋体" w:hAnsi="宋体" w:cs="宋体"/>
                <w:color w:val="000000" w:themeColor="text1"/>
                <w:sz w:val="24"/>
                <w14:textFill>
                  <w14:solidFill>
                    <w14:schemeClr w14:val="tx1"/>
                  </w14:solidFill>
                </w14:textFill>
              </w:rPr>
              <w:t>）和臭氧（</w:t>
            </w:r>
            <w:r>
              <w:rPr>
                <w:rFonts w:hint="eastAsia" w:ascii="Times New Roman" w:hAnsi="Times New Roman" w:eastAsia="仿宋_GB2312"/>
                <w:color w:val="000000" w:themeColor="text1"/>
                <w:sz w:val="24"/>
                <w14:textFill>
                  <w14:solidFill>
                    <w14:schemeClr w14:val="tx1"/>
                  </w14:solidFill>
                </w14:textFill>
              </w:rPr>
              <w:t>O</w:t>
            </w:r>
            <w:r>
              <w:rPr>
                <w:rFonts w:hint="eastAsia" w:ascii="Times New Roman" w:hAnsi="Times New Roman" w:eastAsia="仿宋_GB2312"/>
                <w:color w:val="000000" w:themeColor="text1"/>
                <w:sz w:val="24"/>
                <w:vertAlign w:val="subscript"/>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）协同控制、挥发性有机物（</w:t>
            </w:r>
            <w:r>
              <w:rPr>
                <w:rFonts w:ascii="Times New Roman" w:hAnsi="Times New Roman"/>
                <w:color w:val="000000" w:themeColor="text1"/>
                <w:sz w:val="24"/>
                <w14:textFill>
                  <w14:solidFill>
                    <w14:schemeClr w14:val="tx1"/>
                  </w14:solidFill>
                </w14:textFill>
              </w:rPr>
              <w:t>VOCs</w:t>
            </w:r>
            <w:r>
              <w:rPr>
                <w:rFonts w:hint="eastAsia" w:ascii="宋体" w:hAnsi="宋体" w:cs="宋体"/>
                <w:color w:val="000000" w:themeColor="text1"/>
                <w:sz w:val="24"/>
                <w14:textFill>
                  <w14:solidFill>
                    <w14:schemeClr w14:val="tx1"/>
                  </w14:solidFill>
                </w14:textFill>
              </w:rPr>
              <w:t>）、氮氧化物（</w:t>
            </w:r>
            <w:r>
              <w:rPr>
                <w:rFonts w:ascii="Times New Roman" w:hAnsi="Times New Roman"/>
                <w:color w:val="000000" w:themeColor="text1"/>
                <w:sz w:val="24"/>
                <w14:textFill>
                  <w14:solidFill>
                    <w14:schemeClr w14:val="tx1"/>
                  </w14:solidFill>
                </w14:textFill>
              </w:rPr>
              <w:t>NOx</w:t>
            </w:r>
            <w:r>
              <w:rPr>
                <w:rFonts w:hint="eastAsia" w:ascii="宋体" w:hAnsi="宋体" w:cs="宋体"/>
                <w:color w:val="000000" w:themeColor="text1"/>
                <w:sz w:val="24"/>
                <w14:textFill>
                  <w14:solidFill>
                    <w14:schemeClr w14:val="tx1"/>
                  </w14:solidFill>
                </w14:textFill>
              </w:rPr>
              <w:t>）协同减排相关技术攻关、项目建设，强化源头防控、过程监管、末端治理，到2030年，空气质量优良天数比例不低于90%，细颗粒物（</w:t>
            </w:r>
            <w:r>
              <w:rPr>
                <w:rFonts w:ascii="Times New Roman" w:hAnsi="Times New Roman"/>
                <w:color w:val="000000" w:themeColor="text1"/>
                <w:sz w:val="24"/>
                <w14:textFill>
                  <w14:solidFill>
                    <w14:schemeClr w14:val="tx1"/>
                  </w14:solidFill>
                </w14:textFill>
              </w:rPr>
              <w:t>PM</w:t>
            </w:r>
            <w:r>
              <w:rPr>
                <w:rFonts w:ascii="Times New Roman" w:hAnsi="Times New Roman"/>
                <w:color w:val="000000" w:themeColor="text1"/>
                <w:sz w:val="24"/>
                <w:vertAlign w:val="subscript"/>
                <w14:textFill>
                  <w14:solidFill>
                    <w14:schemeClr w14:val="tx1"/>
                  </w14:solidFill>
                </w14:textFill>
              </w:rPr>
              <w:t>2.5</w:t>
            </w:r>
            <w:r>
              <w:rPr>
                <w:rFonts w:hint="eastAsia" w:ascii="宋体" w:hAnsi="宋体" w:cs="宋体"/>
                <w:color w:val="000000" w:themeColor="text1"/>
                <w:sz w:val="24"/>
                <w14:textFill>
                  <w14:solidFill>
                    <w14:schemeClr w14:val="tx1"/>
                  </w14:solidFill>
                </w14:textFill>
              </w:rPr>
              <w:t>）浓度年均值完成省定目标。</w:t>
            </w:r>
          </w:p>
          <w:p w14:paraId="70B4DF2E">
            <w:pPr>
              <w:pStyle w:val="31"/>
              <w:overflowPunct w:val="0"/>
              <w:topLinePunct/>
              <w:adjustRightInd w:val="0"/>
              <w:snapToGrid w:val="0"/>
              <w:spacing w:after="0" w:line="420" w:lineRule="exact"/>
              <w:ind w:firstLine="480" w:firstLineChars="200"/>
              <w:rPr>
                <w:rFonts w:ascii="Times New Roman" w:hAnsi="Times New Roman"/>
                <w:color w:val="000000" w:themeColor="text1"/>
                <w:sz w:val="24"/>
                <w14:textFill>
                  <w14:solidFill>
                    <w14:schemeClr w14:val="tx1"/>
                  </w14:solidFill>
                </w14:textFill>
              </w:rPr>
            </w:pPr>
            <w:r>
              <w:rPr>
                <w:rFonts w:hint="eastAsia" w:ascii="楷体_GB2312" w:hAnsi="楷体_GB2312" w:eastAsia="楷体_GB2312" w:cs="楷体_GB2312"/>
                <w:snapToGrid w:val="0"/>
                <w:color w:val="000000" w:themeColor="text1"/>
                <w:kern w:val="0"/>
                <w:sz w:val="24"/>
                <w14:textFill>
                  <w14:solidFill>
                    <w14:schemeClr w14:val="tx1"/>
                  </w14:solidFill>
                </w14:textFill>
              </w:rPr>
              <w:t>（二）土壤污染防治。</w:t>
            </w:r>
            <w:r>
              <w:rPr>
                <w:rFonts w:hint="eastAsia" w:ascii="Times New Roman" w:hAnsi="Times New Roman"/>
                <w:color w:val="000000" w:themeColor="text1"/>
                <w:sz w:val="24"/>
                <w14:textFill>
                  <w14:solidFill>
                    <w14:schemeClr w14:val="tx1"/>
                  </w14:solidFill>
                </w14:textFill>
              </w:rPr>
              <w:t>完成全市农用地土壤重金属污染溯源，充分应用溯源成果，形成农用地土壤重金属污染源清单、污染源信息“一张图”，编制并实施治理方案。</w:t>
            </w:r>
            <w:r>
              <w:rPr>
                <w:rFonts w:ascii="Times New Roman" w:hAnsi="Times New Roman"/>
                <w:color w:val="000000" w:themeColor="text1"/>
                <w:sz w:val="24"/>
                <w14:textFill>
                  <w14:solidFill>
                    <w14:schemeClr w14:val="tx1"/>
                  </w14:solidFill>
                </w14:textFill>
              </w:rPr>
              <w:t>加强污染源监管，防范建设项目新增土壤污染，有序开展建设用地污染地块的治理与修复。</w:t>
            </w:r>
          </w:p>
          <w:p w14:paraId="1A833471">
            <w:pPr>
              <w:pStyle w:val="31"/>
              <w:overflowPunct w:val="0"/>
              <w:topLinePunct/>
              <w:adjustRightInd w:val="0"/>
              <w:snapToGrid w:val="0"/>
              <w:spacing w:after="0" w:line="420" w:lineRule="exact"/>
              <w:ind w:firstLine="480" w:firstLineChars="200"/>
              <w:rPr>
                <w:rFonts w:ascii="Times New Roman" w:hAnsi="Times New Roman"/>
                <w:color w:val="000000" w:themeColor="text1"/>
                <w:sz w:val="24"/>
                <w14:textFill>
                  <w14:solidFill>
                    <w14:schemeClr w14:val="tx1"/>
                  </w14:solidFill>
                </w14:textFill>
              </w:rPr>
            </w:pPr>
            <w:r>
              <w:rPr>
                <w:rFonts w:hint="eastAsia" w:ascii="楷体_GB2312" w:hAnsi="楷体_GB2312" w:eastAsia="楷体_GB2312" w:cs="楷体_GB2312"/>
                <w:snapToGrid w:val="0"/>
                <w:color w:val="000000" w:themeColor="text1"/>
                <w:kern w:val="0"/>
                <w:sz w:val="24"/>
                <w14:textFill>
                  <w14:solidFill>
                    <w14:schemeClr w14:val="tx1"/>
                  </w14:solidFill>
                </w14:textFill>
              </w:rPr>
              <w:t>（三）固体废弃物污染防治。</w:t>
            </w:r>
            <w:r>
              <w:rPr>
                <w:rFonts w:ascii="Times New Roman" w:hAnsi="Times New Roman"/>
                <w:color w:val="000000" w:themeColor="text1"/>
                <w:sz w:val="24"/>
                <w14:textFill>
                  <w14:solidFill>
                    <w14:schemeClr w14:val="tx1"/>
                  </w14:solidFill>
                </w14:textFill>
              </w:rPr>
              <w:t>加强工业固废、危险废物、生活垃圾、餐厨垃圾和建筑垃圾利用处置项目建设，实施塑料污染深度治理。</w:t>
            </w:r>
          </w:p>
          <w:p w14:paraId="73B58897">
            <w:pPr>
              <w:pStyle w:val="31"/>
              <w:overflowPunct w:val="0"/>
              <w:topLinePunct/>
              <w:adjustRightInd w:val="0"/>
              <w:snapToGrid w:val="0"/>
              <w:spacing w:after="0" w:line="420" w:lineRule="exact"/>
              <w:ind w:firstLine="480" w:firstLineChars="200"/>
              <w:rPr>
                <w:color w:val="000000" w:themeColor="text1"/>
                <w14:textFill>
                  <w14:solidFill>
                    <w14:schemeClr w14:val="tx1"/>
                  </w14:solidFill>
                </w14:textFill>
              </w:rPr>
            </w:pPr>
            <w:r>
              <w:rPr>
                <w:rFonts w:hint="eastAsia" w:ascii="楷体_GB2312" w:hAnsi="楷体_GB2312" w:eastAsia="楷体_GB2312" w:cs="楷体_GB2312"/>
                <w:snapToGrid w:val="0"/>
                <w:color w:val="000000" w:themeColor="text1"/>
                <w:kern w:val="0"/>
                <w:sz w:val="24"/>
                <w14:textFill>
                  <w14:solidFill>
                    <w14:schemeClr w14:val="tx1"/>
                  </w14:solidFill>
                </w14:textFill>
              </w:rPr>
              <w:t>（四）重点流域综合治理。</w:t>
            </w:r>
            <w:r>
              <w:rPr>
                <w:rFonts w:ascii="Times New Roman" w:hAnsi="Times New Roman"/>
                <w:color w:val="000000" w:themeColor="text1"/>
                <w:sz w:val="24"/>
                <w14:textFill>
                  <w14:solidFill>
                    <w14:schemeClr w14:val="tx1"/>
                  </w14:solidFill>
                </w14:textFill>
              </w:rPr>
              <w:t>重点支</w:t>
            </w:r>
            <w:r>
              <w:rPr>
                <w:rFonts w:hint="eastAsia" w:ascii="宋体" w:hAnsi="宋体" w:cs="宋体"/>
                <w:color w:val="000000" w:themeColor="text1"/>
                <w:sz w:val="24"/>
                <w14:textFill>
                  <w14:solidFill>
                    <w14:schemeClr w14:val="tx1"/>
                  </w14:solidFill>
                </w14:textFill>
              </w:rPr>
              <w:t>持美丽河湖水体保护与建设项目，推进</w:t>
            </w:r>
            <w:r>
              <w:rPr>
                <w:rFonts w:hint="eastAsia" w:ascii="Times New Roman" w:hAnsi="Times New Roman"/>
                <w:color w:val="000000" w:themeColor="text1"/>
                <w:sz w:val="24"/>
                <w14:textFill>
                  <w14:solidFill>
                    <w14:schemeClr w14:val="tx1"/>
                  </w14:solidFill>
                </w14:textFill>
              </w:rPr>
              <w:t>汉江防洪治理工程、旬阳市吕河等幸福河湖建设。加快实施安康高新区余河、洋溢河生态环境修复项目。</w:t>
            </w:r>
          </w:p>
          <w:p w14:paraId="1FF3C264">
            <w:pPr>
              <w:pStyle w:val="31"/>
              <w:overflowPunct w:val="0"/>
              <w:topLinePunct/>
              <w:adjustRightInd w:val="0"/>
              <w:snapToGrid w:val="0"/>
              <w:spacing w:after="0" w:line="420" w:lineRule="exact"/>
              <w:ind w:firstLine="480" w:firstLineChars="200"/>
              <w:rPr>
                <w:rFonts w:ascii="Times New Roman" w:hAnsi="Times New Roman"/>
                <w:color w:val="000000" w:themeColor="text1"/>
                <w:sz w:val="24"/>
                <w14:textFill>
                  <w14:solidFill>
                    <w14:schemeClr w14:val="tx1"/>
                  </w14:solidFill>
                </w14:textFill>
              </w:rPr>
            </w:pPr>
            <w:r>
              <w:rPr>
                <w:rFonts w:hint="eastAsia" w:ascii="楷体_GB2312" w:hAnsi="楷体_GB2312" w:eastAsia="楷体_GB2312" w:cs="楷体_GB2312"/>
                <w:snapToGrid w:val="0"/>
                <w:color w:val="000000" w:themeColor="text1"/>
                <w:kern w:val="0"/>
                <w:sz w:val="24"/>
                <w14:textFill>
                  <w14:solidFill>
                    <w14:schemeClr w14:val="tx1"/>
                  </w14:solidFill>
                </w14:textFill>
              </w:rPr>
              <w:t>（五）汉江生态修复工程。</w:t>
            </w:r>
            <w:r>
              <w:rPr>
                <w:rFonts w:ascii="Times New Roman" w:hAnsi="Times New Roman"/>
                <w:color w:val="000000" w:themeColor="text1"/>
                <w:sz w:val="24"/>
                <w14:textFill>
                  <w14:solidFill>
                    <w14:schemeClr w14:val="tx1"/>
                  </w14:solidFill>
                </w14:textFill>
              </w:rPr>
              <w:t>加快全域山水林田湖草</w:t>
            </w:r>
            <w:r>
              <w:rPr>
                <w:rFonts w:hint="eastAsia" w:ascii="Times New Roman" w:hAnsi="Times New Roman"/>
                <w:color w:val="000000" w:themeColor="text1"/>
                <w:sz w:val="24"/>
                <w14:textFill>
                  <w14:solidFill>
                    <w14:schemeClr w14:val="tx1"/>
                  </w14:solidFill>
                </w14:textFill>
              </w:rPr>
              <w:t>沙</w:t>
            </w:r>
            <w:r>
              <w:rPr>
                <w:rFonts w:ascii="Times New Roman" w:hAnsi="Times New Roman"/>
                <w:color w:val="000000" w:themeColor="text1"/>
                <w:sz w:val="24"/>
                <w14:textFill>
                  <w14:solidFill>
                    <w14:schemeClr w14:val="tx1"/>
                  </w14:solidFill>
                </w14:textFill>
              </w:rPr>
              <w:t>生态保护修复，重点</w:t>
            </w:r>
            <w:r>
              <w:rPr>
                <w:rFonts w:hint="eastAsia" w:ascii="Times New Roman" w:hAnsi="Times New Roman"/>
                <w:color w:val="000000" w:themeColor="text1"/>
                <w:sz w:val="24"/>
                <w14:textFill>
                  <w14:solidFill>
                    <w14:schemeClr w14:val="tx1"/>
                  </w14:solidFill>
                </w14:textFill>
              </w:rPr>
              <w:t>支持白河县汉江流域水生态保护修复工程</w:t>
            </w:r>
            <w:r>
              <w:rPr>
                <w:rFonts w:ascii="Times New Roman" w:hAnsi="Times New Roman"/>
                <w:color w:val="000000" w:themeColor="text1"/>
                <w:sz w:val="24"/>
                <w14:textFill>
                  <w14:solidFill>
                    <w14:schemeClr w14:val="tx1"/>
                  </w14:solidFill>
                </w14:textFill>
              </w:rPr>
              <w:t>。</w:t>
            </w:r>
          </w:p>
          <w:p w14:paraId="36D7F1A6">
            <w:pPr>
              <w:pStyle w:val="31"/>
              <w:overflowPunct w:val="0"/>
              <w:topLinePunct/>
              <w:adjustRightInd w:val="0"/>
              <w:snapToGrid w:val="0"/>
              <w:spacing w:after="156" w:afterLines="50" w:line="420" w:lineRule="exact"/>
              <w:ind w:firstLine="480" w:firstLineChars="200"/>
              <w:rPr>
                <w:rFonts w:ascii="Times New Roman" w:hAnsi="Times New Roman"/>
                <w:color w:val="000000" w:themeColor="text1"/>
                <w:sz w:val="24"/>
                <w14:textFill>
                  <w14:solidFill>
                    <w14:schemeClr w14:val="tx1"/>
                  </w14:solidFill>
                </w14:textFill>
              </w:rPr>
            </w:pPr>
            <w:r>
              <w:rPr>
                <w:rFonts w:hint="eastAsia" w:ascii="楷体_GB2312" w:hAnsi="楷体_GB2312" w:eastAsia="楷体_GB2312" w:cs="楷体_GB2312"/>
                <w:snapToGrid w:val="0"/>
                <w:color w:val="000000" w:themeColor="text1"/>
                <w:kern w:val="0"/>
                <w:sz w:val="24"/>
                <w14:textFill>
                  <w14:solidFill>
                    <w14:schemeClr w14:val="tx1"/>
                  </w14:solidFill>
                </w14:textFill>
              </w:rPr>
              <w:t>（六）城市水环境治理工程。</w:t>
            </w:r>
            <w:r>
              <w:rPr>
                <w:rFonts w:hint="eastAsia" w:ascii="Times New Roman" w:hAnsi="Times New Roman"/>
                <w:color w:val="000000" w:themeColor="text1"/>
                <w:sz w:val="24"/>
                <w14:textFill>
                  <w14:solidFill>
                    <w14:schemeClr w14:val="tx1"/>
                  </w14:solidFill>
                </w14:textFill>
              </w:rPr>
              <w:t>加快推进安康高新区化工园区污水处理厂建设项目建设。</w:t>
            </w:r>
          </w:p>
        </w:tc>
      </w:tr>
    </w:tbl>
    <w:p w14:paraId="484B13A5">
      <w:pPr>
        <w:pStyle w:val="6"/>
        <w:overflowPunct w:val="0"/>
        <w:topLinePunct/>
        <w:spacing w:before="312" w:beforeLines="100" w:after="312" w:afterLines="100" w:line="574" w:lineRule="exact"/>
        <w:rPr>
          <w:color w:val="000000" w:themeColor="text1"/>
          <w14:textFill>
            <w14:solidFill>
              <w14:schemeClr w14:val="tx1"/>
            </w14:solidFill>
          </w14:textFill>
        </w:rPr>
      </w:pPr>
      <w:bookmarkStart w:id="66" w:name="_Toc13820"/>
      <w:r>
        <w:rPr>
          <w:rFonts w:hint="eastAsia"/>
          <w:color w:val="000000" w:themeColor="text1"/>
          <w14:textFill>
            <w14:solidFill>
              <w14:schemeClr w14:val="tx1"/>
            </w14:solidFill>
          </w14:textFill>
        </w:rPr>
        <w:t>第四章 加速提升绿色发展水平</w:t>
      </w:r>
      <w:bookmarkEnd w:id="66"/>
    </w:p>
    <w:p w14:paraId="3D82C16F">
      <w:pPr>
        <w:overflowPunct w:val="0"/>
        <w:topLinePunct/>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加快产业绿色低碳转型。</w:t>
      </w:r>
      <w:r>
        <w:rPr>
          <w:rFonts w:hint="eastAsia" w:ascii="仿宋_GB2312" w:hAnsi="宋体" w:eastAsia="仿宋_GB2312"/>
          <w:color w:val="000000" w:themeColor="text1"/>
          <w:sz w:val="32"/>
          <w:szCs w:val="32"/>
          <w14:textFill>
            <w14:solidFill>
              <w14:schemeClr w14:val="tx1"/>
            </w14:solidFill>
          </w14:textFill>
        </w:rPr>
        <w:t>落实促进绿色低碳发展政策，争创国家绿色产业示范基地。大力推动化工、建材、造纸等行业绿色低碳转型，推广节能低碳和清洁生产技术装备，有效降低能源消耗和污染物排放，推动传统产业绿色低碳改造升级。健全</w:t>
      </w:r>
      <w:r>
        <w:rPr>
          <w:rFonts w:hint="eastAsia" w:ascii="仿宋_GB2312" w:hAnsi="仿宋_GB2312" w:eastAsia="仿宋_GB2312" w:cs="仿宋_GB2312"/>
          <w:color w:val="000000" w:themeColor="text1"/>
          <w:sz w:val="32"/>
          <w:szCs w:val="32"/>
          <w14:textFill>
            <w14:solidFill>
              <w14:schemeClr w14:val="tx1"/>
            </w14:solidFill>
          </w14:textFill>
        </w:rPr>
        <w:t>绿色产品、绿色工厂、绿色工业园区和绿色供应链</w:t>
      </w:r>
      <w:r>
        <w:rPr>
          <w:rFonts w:hint="eastAsia" w:ascii="仿宋_GB2312" w:hAnsi="宋体" w:eastAsia="仿宋_GB2312"/>
          <w:color w:val="000000" w:themeColor="text1"/>
          <w:sz w:val="32"/>
          <w:szCs w:val="32"/>
          <w14:textFill>
            <w14:solidFill>
              <w14:schemeClr w14:val="tx1"/>
            </w14:solidFill>
          </w14:textFill>
        </w:rPr>
        <w:t>管理</w:t>
      </w:r>
      <w:r>
        <w:rPr>
          <w:rFonts w:hint="eastAsia" w:ascii="仿宋_GB2312" w:hAnsi="仿宋_GB2312" w:eastAsia="仿宋_GB2312" w:cs="仿宋_GB2312"/>
          <w:color w:val="000000" w:themeColor="text1"/>
          <w:sz w:val="32"/>
          <w:szCs w:val="32"/>
          <w14:textFill>
            <w14:solidFill>
              <w14:schemeClr w14:val="tx1"/>
            </w14:solidFill>
          </w14:textFill>
        </w:rPr>
        <w:t>评价标准体系，</w:t>
      </w:r>
      <w:r>
        <w:rPr>
          <w:rFonts w:hint="eastAsia" w:ascii="仿宋_GB2312" w:hAnsi="宋体" w:eastAsia="仿宋_GB2312"/>
          <w:color w:val="000000" w:themeColor="text1"/>
          <w:sz w:val="32"/>
          <w:szCs w:val="32"/>
          <w14:textFill>
            <w14:solidFill>
              <w14:schemeClr w14:val="tx1"/>
            </w14:solidFill>
          </w14:textFill>
        </w:rPr>
        <w:t>开展产业园区循环化改造，建设零碳园区。</w:t>
      </w:r>
      <w:r>
        <w:rPr>
          <w:rFonts w:hint="eastAsia" w:ascii="仿宋_GB2312" w:hAnsi="方正仿宋_GB2312" w:eastAsia="仿宋_GB2312" w:cs="方正仿宋_GB2312"/>
          <w:color w:val="000000" w:themeColor="text1"/>
          <w:sz w:val="32"/>
          <w:szCs w:val="32"/>
          <w14:textFill>
            <w14:solidFill>
              <w14:schemeClr w14:val="tx1"/>
            </w14:solidFill>
          </w14:textFill>
        </w:rPr>
        <w:t>加快农业绿色低碳发展，推进“三品一标”标准化基地建设，鼓励发展生态种植、生态养殖及生态循环农业，打造一批生态农场和生态循环农业产业联合体。完善绿色低碳要素支撑，发展绿色金融，加大对绿色产业和绿色项目的金融支持力度，引导社会资本投向绿色产业领域。</w:t>
      </w:r>
    </w:p>
    <w:p w14:paraId="0564F216">
      <w:pPr>
        <w:overflowPunct w:val="0"/>
        <w:topLinePunct/>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推进生活方式绿色低碳化。</w:t>
      </w:r>
      <w:r>
        <w:rPr>
          <w:rFonts w:hint="eastAsia" w:ascii="仿宋_GB2312" w:hAnsi="方正仿宋_GB2312" w:eastAsia="仿宋_GB2312" w:cs="方正仿宋_GB2312"/>
          <w:color w:val="000000" w:themeColor="text1"/>
          <w:sz w:val="32"/>
          <w:szCs w:val="32"/>
          <w14:textFill>
            <w14:solidFill>
              <w14:schemeClr w14:val="tx1"/>
            </w14:solidFill>
          </w14:textFill>
        </w:rPr>
        <w:t>深化绿色共建行动，线下建设绿色批发市场、商场、超市等多样化流通主体，打造绿色产品电商平台，鼓励消费者购买和使用绿色产品，推进绿色消费。推动交通运输行业绿色发展，推进城市公交、出租、物流配送等公共领域新能源车辆推广应用，坚持公交、步行与骑行优先，构建“绿畅并举、快慢相宜”的低碳交通体系。强化绿色设施支撑，大力发展绿色建筑和装配式建筑，积极推广钢结构建筑。引导企事业单位实施低碳化管理，鼓励参与低碳公益行动。拓展绿色生活场景，深入开展绿色家庭、学校、社区示范创建行动，倡导简约适度生活方式，形成全社会共建共享绿色低碳生活的良好氛围。</w:t>
      </w:r>
    </w:p>
    <w:p w14:paraId="26726F05">
      <w:pPr>
        <w:overflowPunct w:val="0"/>
        <w:topLinePunct/>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健全资源节约循环利用体系。</w:t>
      </w:r>
      <w:r>
        <w:rPr>
          <w:rFonts w:hint="eastAsia" w:ascii="仿宋_GB2312" w:hAnsi="方正仿宋_GB2312" w:eastAsia="仿宋_GB2312" w:cs="方正仿宋_GB2312"/>
          <w:color w:val="000000" w:themeColor="text1"/>
          <w:sz w:val="32"/>
          <w:szCs w:val="32"/>
          <w14:textFill>
            <w14:solidFill>
              <w14:schemeClr w14:val="tx1"/>
            </w14:solidFill>
          </w14:textFill>
        </w:rPr>
        <w:t>推进垃圾分类与再生资源回收两网融合，推动城乡废旧物资回收处理一体化。推行“互联网+回收”和“互联网+二手”模式，规范二手商品市场发展，推动线下实体二手市场规范运营。发展资源循环利用产业，健全资源循环利用制度体系，引导再生资源产业企业向静脉产业园等基地集聚。落实生产者责任延伸制度，强化回收处置责任，规范回收处理渠道，加强拆解利用企业规范管理和环境监管。完善资源总量管理和全面节约制度，加强各类资源全过程管理和全链条节约，提高资源化利用水平，促进循环经济发展。强化粮食全链条节约减损，深入推进反食品浪费工作。</w:t>
      </w:r>
    </w:p>
    <w:p w14:paraId="223D6020">
      <w:pPr>
        <w:pStyle w:val="26"/>
        <w:spacing w:line="574"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积极稳妥推进碳达峰碳中和。</w:t>
      </w:r>
      <w:r>
        <w:rPr>
          <w:rFonts w:hint="eastAsia" w:ascii="仿宋_GB2312" w:hAnsi="方正仿宋_GB2312" w:eastAsia="仿宋_GB2312" w:cs="方正仿宋_GB2312"/>
          <w:color w:val="000000" w:themeColor="text1"/>
          <w:sz w:val="32"/>
          <w:szCs w:val="32"/>
          <w14:textFill>
            <w14:solidFill>
              <w14:schemeClr w14:val="tx1"/>
            </w14:solidFill>
          </w14:textFill>
        </w:rPr>
        <w:t>全面落实碳排放总量和强度双控制度。完善碳排放统计核算体系，推动实施地方碳考核、行业碳管控、企业碳管理、项目碳评价、产品碳足迹等政策制度。深化重点行业节能降碳改造，严把新上项目能耗关和碳排放关，坚决遏制高耗能高排放项目盲目发展，推动企业完善节能降碳管理机制。推进国家储备林基地、“百万亩绿色碳库”试点示范基地建设，提升生态系统碳汇能力。推动县级生态资源公司市场化运营，全面摸清全市碳汇资源底数，加强碳汇监测与评估技术研发，探索碳汇项目开发，主动参与全国碳排放权市场交易。深化金融赋能与碳汇交易市场链接，鼓励金融机构参与碳汇交易市场。</w:t>
      </w:r>
    </w:p>
    <w:p w14:paraId="13C90CE4">
      <w:pPr>
        <w:pStyle w:val="6"/>
        <w:overflowPunct w:val="0"/>
        <w:topLinePunct/>
        <w:spacing w:before="312" w:beforeLines="100" w:after="312" w:afterLines="100"/>
        <w:rPr>
          <w:color w:val="000000" w:themeColor="text1"/>
          <w14:textFill>
            <w14:solidFill>
              <w14:schemeClr w14:val="tx1"/>
            </w14:solidFill>
          </w14:textFill>
        </w:rPr>
      </w:pPr>
      <w:bookmarkStart w:id="67" w:name="_Toc388"/>
      <w:r>
        <w:rPr>
          <w:rFonts w:hint="eastAsia"/>
          <w:color w:val="000000" w:themeColor="text1"/>
          <w14:textFill>
            <w14:solidFill>
              <w14:schemeClr w14:val="tx1"/>
            </w14:solidFill>
          </w14:textFill>
        </w:rPr>
        <w:t>第五章 加快提升生态转化价值</w:t>
      </w:r>
      <w:bookmarkEnd w:id="67"/>
    </w:p>
    <w:p w14:paraId="0A432C2D">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构建生态产品价值体系。</w:t>
      </w:r>
      <w:r>
        <w:rPr>
          <w:rFonts w:hint="eastAsia" w:ascii="仿宋_GB2312" w:hAnsi="方正仿宋_GB2312" w:eastAsia="仿宋_GB2312" w:cs="方正仿宋_GB2312"/>
          <w:color w:val="000000" w:themeColor="text1"/>
          <w:spacing w:val="-4"/>
          <w:sz w:val="32"/>
          <w:szCs w:val="32"/>
          <w14:textFill>
            <w14:solidFill>
              <w14:schemeClr w14:val="tx1"/>
            </w14:solidFill>
          </w14:textFill>
        </w:rPr>
        <w:t>全面开展全民所有自然资源资产清查工作，整合现有森林、湿地及水等资源数据，深入开展生态产品调查，摸清生态产品本底，形成生态产品清单，构建上下联通的全民所有自然资源资产管理信息系统。加快构建完善生态产品体系，拓展生态物质产品供给，充分发挥天然富硒资源优势，将生态环境优势转化为经济发展优势。</w:t>
      </w:r>
      <w:r>
        <w:rPr>
          <w:rFonts w:hint="eastAsia" w:ascii="仿宋_GB2312" w:hAnsi="仿宋_GB2312" w:eastAsia="仿宋_GB2312" w:cs="仿宋_GB2312"/>
          <w:color w:val="000000" w:themeColor="text1"/>
          <w:spacing w:val="-4"/>
          <w:sz w:val="32"/>
          <w:szCs w:val="32"/>
          <w14:textFill>
            <w14:solidFill>
              <w14:schemeClr w14:val="tx1"/>
            </w14:solidFill>
          </w14:textFill>
        </w:rPr>
        <w:t>强化生态权益产品供给，推进排污权、用能权、用水权、碳排放权市场化交易</w:t>
      </w:r>
      <w:r>
        <w:rPr>
          <w:rFonts w:hint="eastAsia" w:ascii="仿宋_GB2312" w:hAnsi="方正仿宋_GB2312" w:eastAsia="仿宋_GB2312" w:cs="方正仿宋_GB2312"/>
          <w:color w:val="000000" w:themeColor="text1"/>
          <w:spacing w:val="-4"/>
          <w:sz w:val="32"/>
          <w:szCs w:val="32"/>
          <w14:textFill>
            <w14:solidFill>
              <w14:schemeClr w14:val="tx1"/>
            </w14:solidFill>
          </w14:textFill>
        </w:rPr>
        <w:t>。创新生态服务产品供给，开发生态旅游、康养度假等文化服务产品，推进生态产业化和产业生态化迭代升级，实现生态产品供给的创新突破。</w:t>
      </w:r>
    </w:p>
    <w:p w14:paraId="66142171">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深化生态价值转化机制</w:t>
      </w:r>
      <w:r>
        <w:rPr>
          <w:rFonts w:hint="eastAsia" w:ascii="仿宋_GB2312" w:hAnsi="方正仿宋_GB2312" w:eastAsia="仿宋_GB2312" w:cs="方正仿宋_GB2312"/>
          <w:color w:val="000000" w:themeColor="text1"/>
          <w:sz w:val="32"/>
          <w:szCs w:val="32"/>
          <w14:textFill>
            <w14:solidFill>
              <w14:schemeClr w14:val="tx1"/>
            </w14:solidFill>
          </w14:textFill>
        </w:rPr>
        <w:t>。加大生态产品价值实现机制探索力度，持续创建生态文明建设示范区（县）和“两山”实践创新基地。建立完善生态产品价值核算体系，推动核算结果应用于政府决策、考核评价、项目规划、金融创新等，为绿色发展提供量化支撑。创新生态产业载体路径，加强循环经济产业园对接合作，打造“长江经济带”“成渝经济圈”绿色循环产业溢出重要承载地。积极稳妥推进生态环境导向的开发（EOD）模式创新，强化金融支撑，加快推进恒口、石泉、白河等县区EOD项目落地建设，推进生态环境保护与产业融合发展。</w:t>
      </w:r>
    </w:p>
    <w:p w14:paraId="7349B597">
      <w:pPr>
        <w:overflowPunct w:val="0"/>
        <w:topLinePunct/>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完善生态产品市场化实现机制。</w:t>
      </w:r>
      <w:r>
        <w:rPr>
          <w:rFonts w:hint="eastAsia" w:ascii="仿宋_GB2312" w:hAnsi="方正仿宋_GB2312" w:eastAsia="仿宋_GB2312" w:cs="方正仿宋_GB2312"/>
          <w:color w:val="000000" w:themeColor="text1"/>
          <w:sz w:val="32"/>
          <w:szCs w:val="32"/>
          <w14:textFill>
            <w14:solidFill>
              <w14:schemeClr w14:val="tx1"/>
            </w14:solidFill>
          </w14:textFill>
        </w:rPr>
        <w:t>深化生态保护修复产权激励试点机制建设，大力培育生态产品市场开发经营主体。畅通生态产品经营主体融资通道，鼓励盘活当地废弃矿山、工业遗址、历史村落等资源。建立吸引社会资本投入生态环境保护的市场机制，创新绿色信贷、绿色债券等金融产品供给，探索以自然资源未来现金流为支撑的资产证券化，引导金融资本、社会资本重点支持区域生态修复工程和绿色产业培育。</w:t>
      </w:r>
      <w:r>
        <w:rPr>
          <w:rFonts w:hint="eastAsia" w:ascii="仿宋_GB2312" w:hAnsi="仿宋_GB2312" w:eastAsia="仿宋_GB2312" w:cs="仿宋_GB2312"/>
          <w:color w:val="000000" w:themeColor="text1"/>
          <w:sz w:val="32"/>
          <w:szCs w:val="32"/>
          <w14:textFill>
            <w14:solidFill>
              <w14:schemeClr w14:val="tx1"/>
            </w14:solidFill>
          </w14:textFill>
        </w:rPr>
        <w:t>加强区域内绿色低碳产业配套和企业协作，共同策划实施生态产品价值实现、碳达峰碳中和等领域项目，提升产业生态化和生态产业化水平，</w:t>
      </w:r>
      <w:r>
        <w:rPr>
          <w:rFonts w:hint="eastAsia" w:ascii="仿宋_GB2312" w:hAnsi="方正仿宋_GB2312" w:eastAsia="仿宋_GB2312" w:cs="方正仿宋_GB2312"/>
          <w:color w:val="000000" w:themeColor="text1"/>
          <w:sz w:val="32"/>
          <w:szCs w:val="32"/>
          <w14:textFill>
            <w14:solidFill>
              <w14:schemeClr w14:val="tx1"/>
            </w14:solidFill>
          </w14:textFill>
        </w:rPr>
        <w:t>拓宽绿水青山转化金山银山路径。</w:t>
      </w:r>
    </w:p>
    <w:p w14:paraId="4B4E7BD5">
      <w:pPr>
        <w:overflowPunct w:val="0"/>
        <w:topLinePunct/>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健全生态补偿机制。</w:t>
      </w:r>
      <w:r>
        <w:rPr>
          <w:rFonts w:hint="eastAsia" w:ascii="仿宋_GB2312" w:hAnsi="仿宋_GB2312" w:eastAsia="仿宋_GB2312" w:cs="仿宋_GB2312"/>
          <w:color w:val="000000" w:themeColor="text1"/>
          <w:sz w:val="32"/>
          <w:szCs w:val="32"/>
          <w14:textFill>
            <w14:solidFill>
              <w14:schemeClr w14:val="tx1"/>
            </w14:solidFill>
          </w14:textFill>
        </w:rPr>
        <w:t>探索建立以生态环境要素为实施对象的多元分类补偿制度，争取将更多县区纳入国家生态补偿重点区域。完善纵向生态补偿机制，争取中央财政转移支付、省级生态补偿资金和陕南循环发展资金支持。强化多元资金保障与区域协作，加强与南水北调中线工程受益地区合作，健全跨区域补偿机制，探索对口协作、产业转移、人才培训、共建园区等多元化补偿方式，将生态财富转化为经济财富。推进横向生态保护补偿机制建设，推动补偿单元下沉至乡镇层级，试点流域横向生态补偿，推动区域生态环境质量持续改善。</w:t>
      </w:r>
    </w:p>
    <w:bookmarkEnd w:id="65"/>
    <w:p w14:paraId="1C394BDA">
      <w:pPr>
        <w:pStyle w:val="5"/>
        <w:overflowPunct w:val="0"/>
        <w:topLinePunct/>
        <w:spacing w:before="312" w:after="156" w:afterLines="50" w:line="480"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534393AD">
      <w:pPr>
        <w:pStyle w:val="5"/>
        <w:overflowPunct w:val="0"/>
        <w:topLinePunct/>
        <w:spacing w:before="312" w:after="0" w:afterLines="0" w:line="540"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68" w:name="_Toc12682"/>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第八篇 繁荣发展文化事业，不断提升高质量</w:t>
      </w:r>
    </w:p>
    <w:p w14:paraId="41BF740C">
      <w:pPr>
        <w:spacing w:line="54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发展现代化建设软实力</w:t>
      </w:r>
      <w:bookmarkEnd w:id="68"/>
    </w:p>
    <w:p w14:paraId="4096FFC5">
      <w:pPr>
        <w:overflowPunct w:val="0"/>
        <w:topLinePunct/>
        <w:adjustRightInd w:val="0"/>
        <w:snapToGrid w:val="0"/>
        <w:spacing w:line="480" w:lineRule="exact"/>
        <w:ind w:firstLine="640"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p>
    <w:p w14:paraId="1F02304A">
      <w:pPr>
        <w:overflowPunct w:val="0"/>
        <w:topLinePunct/>
        <w:adjustRightInd w:val="0"/>
        <w:snapToGrid w:val="0"/>
        <w:spacing w:line="540" w:lineRule="exact"/>
        <w:ind w:firstLine="640"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守正创新推进文化自信自强，充分激发安康地域文化创新创造活力，努力把文化软实力转化为聚力建设幸福安康的硬支撑。</w:t>
      </w:r>
    </w:p>
    <w:p w14:paraId="22784AC1">
      <w:pPr>
        <w:pStyle w:val="6"/>
        <w:overflowPunct w:val="0"/>
        <w:topLinePunct/>
        <w:spacing w:before="312" w:beforeLines="100" w:after="312" w:afterLines="100" w:line="554" w:lineRule="exact"/>
        <w:rPr>
          <w:color w:val="000000" w:themeColor="text1"/>
          <w14:textFill>
            <w14:solidFill>
              <w14:schemeClr w14:val="tx1"/>
            </w14:solidFill>
          </w14:textFill>
        </w:rPr>
      </w:pPr>
      <w:bookmarkStart w:id="69" w:name="_Toc3596"/>
      <w:r>
        <w:rPr>
          <w:rFonts w:hint="eastAsia"/>
          <w:color w:val="000000" w:themeColor="text1"/>
          <w14:textFill>
            <w14:solidFill>
              <w14:schemeClr w14:val="tx1"/>
            </w14:solidFill>
          </w14:textFill>
        </w:rPr>
        <w:t>第一章 大力弘扬践行社会主义核心价值观</w:t>
      </w:r>
      <w:bookmarkEnd w:id="69"/>
    </w:p>
    <w:p w14:paraId="758A2D1C">
      <w:pPr>
        <w:spacing w:line="554" w:lineRule="exact"/>
        <w:ind w:firstLine="643" w:firstLineChars="200"/>
        <w:rPr>
          <w:rFonts w:asci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健全党的创新理论传播体系。</w:t>
      </w:r>
      <w:r>
        <w:rPr>
          <w:rFonts w:hint="eastAsia" w:ascii="仿宋_GB2312" w:eastAsia="仿宋_GB2312" w:cs="仿宋_GB2312"/>
          <w:color w:val="000000" w:themeColor="text1"/>
          <w:sz w:val="32"/>
          <w:szCs w:val="32"/>
          <w14:textFill>
            <w14:solidFill>
              <w14:schemeClr w14:val="tx1"/>
            </w14:solidFill>
          </w14:textFill>
        </w:rPr>
        <w:t>深化党的创新理论学习和宣传教育，健全理论传播工作体系，坚持不懈用习近平新时代中国特色社会主义思想凝心铸魂。深化“牢记嘱托 感恩奋进”主题活动，常思常悟常用习近平总书记来陕来安考察重要讲话重要指示。完善党的创新理论传播体系，实施理论宣讲品牌培树提升行动，健全“理论宣讲+文化文艺+文明实践”模式，建好“1+N”宣讲队伍，分层分类开展主题宣讲活动，做优“理响安康”理论宣讲品牌。构建“沿着总书记足迹看变化悟思想”理论宣讲体系，推动党的创新理论深入人心。办好“学习强国”安康学习平台，运用微宣讲、云课堂等方式，推出更多看得懂、乐接受、易传播的融媒体产品。</w:t>
      </w:r>
    </w:p>
    <w:p w14:paraId="6AD232B7">
      <w:pPr>
        <w:spacing w:line="554" w:lineRule="exact"/>
        <w:ind w:firstLine="643" w:firstLineChars="200"/>
        <w:rPr>
          <w:rFonts w:asci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加强理想信念教育。</w:t>
      </w:r>
      <w:r>
        <w:rPr>
          <w:rFonts w:hint="eastAsia" w:ascii="仿宋_GB2312" w:eastAsia="仿宋_GB2312" w:cs="仿宋_GB2312"/>
          <w:color w:val="000000" w:themeColor="text1"/>
          <w:sz w:val="32"/>
          <w:szCs w:val="32"/>
          <w14:textFill>
            <w14:solidFill>
              <w14:schemeClr w14:val="tx1"/>
            </w14:solidFill>
          </w14:textFill>
        </w:rPr>
        <w:t>大力弘扬伟大建党精神，常态长效开展党史、新中国史、改革开放史、社会主义发展史教育活动。深化爱国主义、集体主义、社会主义教育，推进理想信念教育常态化制度化。加强和改进思想政治工作，提升基层思想政治工作质量和水平。铸牢中华民族共同体意识、构建中华民族共有精神家园。深化大中小学思政课一体化改革创新，推进校园文化建设，传承弘扬延安精神，强化青少年理想信念教育。加强爱国主义教育基地建设，利用红色资源开展爱国主义教育和革命传统教育，激发全民爱国热情和奋斗精神。加强国防教育，引导干部群众强化国防观念，提升国防素养。</w:t>
      </w:r>
    </w:p>
    <w:p w14:paraId="20FE80F0">
      <w:pPr>
        <w:spacing w:line="554" w:lineRule="exact"/>
        <w:ind w:firstLine="643" w:firstLineChars="200"/>
        <w:rPr>
          <w:rFonts w:asci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提高社会文明程度。</w:t>
      </w:r>
      <w:r>
        <w:rPr>
          <w:rFonts w:hint="eastAsia" w:ascii="仿宋_GB2312" w:eastAsia="仿宋_GB2312" w:cs="仿宋_GB2312"/>
          <w:color w:val="000000" w:themeColor="text1"/>
          <w:sz w:val="32"/>
          <w:szCs w:val="32"/>
          <w14:textFill>
            <w14:solidFill>
              <w14:schemeClr w14:val="tx1"/>
            </w14:solidFill>
          </w14:textFill>
        </w:rPr>
        <w:t>构建依托安康本土文化载体推动社会主义核心价值观落地落实的工作机制，推动社会主义核心价值观融入法治建设、融入社会发展、融入日常生活。统筹推进文明培育、文明实践、文明创建，推动城乡精神文明建设融合发展。加强新时代公民道德建设，塑强“弘德安康”品牌，弘扬诚信文化、廉洁文化，培树中省层级重大先进典型。深化孝义善举培育工程“六项建设”，开展宣传教育、实践养成、道德评议、风尚引领“四大行动”，推动传承孝义文化、涵养孝义美德。充分发挥文明实践阵地作用，广泛开展“文明有我”等主题实践活动，常态化开展志愿服务，做优市域文明实践品牌。全面推进城乡文明建设，引领群众性精神文明创建活动蓬勃开展，焕发城乡文明新气象。加强网络内容建设和管理，持续开展“高质量发展看安康”等网络主题宣传活动，提升信息化条件下文化领域治理能力。</w:t>
      </w:r>
    </w:p>
    <w:p w14:paraId="3692EAB4">
      <w:pPr>
        <w:pStyle w:val="6"/>
        <w:overflowPunct w:val="0"/>
        <w:topLinePunct/>
        <w:spacing w:before="312" w:beforeLines="100" w:after="312" w:afterLines="100" w:line="554" w:lineRule="exact"/>
        <w:rPr>
          <w:color w:val="000000" w:themeColor="text1"/>
          <w14:textFill>
            <w14:solidFill>
              <w14:schemeClr w14:val="tx1"/>
            </w14:solidFill>
          </w14:textFill>
        </w:rPr>
      </w:pPr>
      <w:bookmarkStart w:id="70" w:name="_Toc1400"/>
      <w:r>
        <w:rPr>
          <w:rFonts w:hint="eastAsia"/>
          <w:color w:val="000000" w:themeColor="text1"/>
          <w14:textFill>
            <w14:solidFill>
              <w14:schemeClr w14:val="tx1"/>
            </w14:solidFill>
          </w14:textFill>
        </w:rPr>
        <w:t>第二章 加强文化遗产保护传承利用</w:t>
      </w:r>
      <w:bookmarkEnd w:id="70"/>
    </w:p>
    <w:p w14:paraId="56894B1C">
      <w:pPr>
        <w:spacing w:line="554" w:lineRule="exact"/>
        <w:ind w:firstLine="643" w:firstLineChars="200"/>
        <w:rPr>
          <w:rFonts w:ascii="仿宋_GB2312" w:eastAsia="仿宋_GB2312"/>
          <w:snapToGrid w:val="0"/>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加强文化遗产保护。</w:t>
      </w:r>
      <w:r>
        <w:rPr>
          <w:rFonts w:hint="eastAsia" w:ascii="仿宋_GB2312" w:eastAsia="仿宋_GB2312"/>
          <w:snapToGrid w:val="0"/>
          <w:color w:val="000000" w:themeColor="text1"/>
          <w:sz w:val="32"/>
          <w:szCs w:val="32"/>
          <w14:textFill>
            <w14:solidFill>
              <w14:schemeClr w14:val="tx1"/>
            </w14:solidFill>
          </w14:textFill>
        </w:rPr>
        <w:t>实施“幸福安康”文化标识培育计划，打造具有独特魅力、丰富时代内涵和深厚群众基础的安康文化品牌。深化对刘家营、王家坝、柳家河、女娲山等遗址遗迹和鎏金铜蚕、独孤信印、史密簋出土文物研究，提升丝路文化、汉水文化、秦巴文化、茶文化等地域文化研究阐发和保护传承力度。加强文物古迹、历史建筑、名城名镇、历史街区、传统村落、古树名木、古籍碑刻等系统性保护。实施秦蜀古道文化遗产廊道保护工程，加强子午道文化遗产调查研究和保护展示。有序推进“凤堰梯田”等农业文化遗产开发利用。加强文化遗产数字化保护，利用现代信息技术对珍贵文化遗产进行数字化采集、存储和展示，搭建线上文化遗产展示平台，让更多人能够便捷地了解和欣赏安康文化遗产的独特魅力。</w:t>
      </w:r>
    </w:p>
    <w:p w14:paraId="0751F2C6">
      <w:pPr>
        <w:pStyle w:val="78"/>
        <w:overflowPunct w:val="0"/>
        <w:spacing w:line="554" w:lineRule="exact"/>
        <w:ind w:firstLine="643" w:firstLineChars="200"/>
        <w:rPr>
          <w:rFonts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传承保护非物质文化遗产。</w:t>
      </w:r>
      <w:r>
        <w:rPr>
          <w:rFonts w:hint="eastAsia" w:eastAsia="仿宋_GB2312"/>
          <w:color w:val="000000" w:themeColor="text1"/>
          <w:sz w:val="32"/>
          <w:szCs w:val="32"/>
          <w14:textFill>
            <w14:solidFill>
              <w14:schemeClr w14:val="tx1"/>
            </w14:solidFill>
          </w14:textFill>
        </w:rPr>
        <w:t>健全国家、省、市、县四级非遗名录体系和工作机制，深化系统性保护与活态化传承。推进非遗数据库建设，运用数字化技术提升记录、保存与管理水平。完善传承人认定、管理与激励机制，加强梯队建设，持续激发传承活力。推动“非遗+旅游”融合发展，开发秦巴汉水非遗主题旅游线路，深入开展“非遗进景区”活动，支持建设非遗特色体验空间。做强陕南民歌、汉调二黄等特色品牌，提升“安康汉江龙舟节”等品牌活动影响力，支持创排以紫阳民歌、平利弦子腔等本土艺术为元素的舞台剧目。促进“非遗+产业”创新转化，推动传统工艺与现代设计、时尚消费相结合，开发具有地域特色的非遗文创产品。鼓励毛绒玩具等优势产业有机融入非遗元素，拓展非遗产业化路径。完善非遗传播体系，用好新媒体传播渠道，推动非遗进校园、进社区，营造全社会共同参与的保护氛围。</w:t>
      </w:r>
    </w:p>
    <w:p w14:paraId="16412DF5">
      <w:pPr>
        <w:spacing w:line="554" w:lineRule="exact"/>
        <w:ind w:firstLine="643" w:firstLineChars="200"/>
        <w:rPr>
          <w:rFonts w:ascii="仿宋_GB2312" w:eastAsia="仿宋_GB2312"/>
          <w:snapToGrid w:val="0"/>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弘扬发展红色文化。</w:t>
      </w:r>
      <w:r>
        <w:rPr>
          <w:rFonts w:hint="eastAsia" w:ascii="仿宋_GB2312" w:hAnsi="仿宋_GB2312" w:eastAsia="仿宋_GB2312" w:cs="仿宋_GB2312"/>
          <w:color w:val="000000" w:themeColor="text1"/>
          <w:sz w:val="32"/>
          <w:szCs w:val="32"/>
          <w14:textFill>
            <w14:solidFill>
              <w14:schemeClr w14:val="tx1"/>
            </w14:solidFill>
          </w14:textFill>
        </w:rPr>
        <w:t>积极融入“红星‘陕’耀”革命文化传播工程，深入</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发掘保护市域内红色资源，</w:t>
      </w:r>
      <w:r>
        <w:rPr>
          <w:rFonts w:hint="eastAsia" w:ascii="仿宋_GB2312" w:eastAsia="仿宋_GB2312"/>
          <w:snapToGrid w:val="0"/>
          <w:color w:val="000000" w:themeColor="text1"/>
          <w:sz w:val="32"/>
          <w:szCs w:val="32"/>
          <w14:textFill>
            <w14:solidFill>
              <w14:schemeClr w14:val="tx1"/>
            </w14:solidFill>
          </w14:textFill>
        </w:rPr>
        <w:t>广泛开展“追寻红色印迹·赓续红色血脉”实践活动，</w:t>
      </w:r>
      <w:r>
        <w:rPr>
          <w:rFonts w:hint="eastAsia" w:ascii="仿宋_GB2312" w:hAnsi="仿宋_GB2312" w:eastAsia="仿宋_GB2312" w:cs="仿宋_GB2312"/>
          <w:color w:val="000000" w:themeColor="text1"/>
          <w:sz w:val="32"/>
          <w:szCs w:val="32"/>
          <w14:textFill>
            <w14:solidFill>
              <w14:schemeClr w14:val="tx1"/>
            </w14:solidFill>
          </w14:textFill>
        </w:rPr>
        <w:t>高质量完成长征国家文化公园安康段建设。深度挖掘、宣传安康改革发展的创新实践和先进典型，</w:t>
      </w:r>
      <w:r>
        <w:rPr>
          <w:rFonts w:hint="eastAsia" w:ascii="仿宋_GB2312" w:eastAsia="仿宋_GB2312"/>
          <w:snapToGrid w:val="0"/>
          <w:color w:val="000000" w:themeColor="text1"/>
          <w:sz w:val="32"/>
          <w:szCs w:val="32"/>
          <w14:textFill>
            <w14:solidFill>
              <w14:schemeClr w14:val="tx1"/>
            </w14:solidFill>
          </w14:textFill>
        </w:rPr>
        <w:t>讲好新时代安康故事，提升安康知名度和美誉度。依托红色资源，打造红色文化教育基地，建设一批红色场馆和纪念设施。</w:t>
      </w:r>
      <w:r>
        <w:rPr>
          <w:rFonts w:hint="eastAsia" w:ascii="仿宋_GB2312" w:hAnsi="仿宋_GB2312" w:eastAsia="仿宋_GB2312" w:cs="仿宋_GB2312"/>
          <w:color w:val="000000" w:themeColor="text1"/>
          <w:sz w:val="32"/>
          <w:szCs w:val="32"/>
          <w14:textFill>
            <w14:solidFill>
              <w14:schemeClr w14:val="tx1"/>
            </w14:solidFill>
          </w14:textFill>
        </w:rPr>
        <w:t>开发红色旅游线路，将红色景点与自然风光、民俗文化等资源相结合，推出特色红色旅游产品，吸引更多游客前来参观学习，推动红色文化和旅游产业融合发展</w:t>
      </w:r>
      <w:r>
        <w:rPr>
          <w:rFonts w:hint="eastAsia" w:ascii="仿宋_GB2312" w:eastAsia="仿宋_GB2312"/>
          <w:snapToGrid w:val="0"/>
          <w:color w:val="000000" w:themeColor="text1"/>
          <w:sz w:val="32"/>
          <w:szCs w:val="32"/>
          <w14:textFill>
            <w14:solidFill>
              <w14:schemeClr w14:val="tx1"/>
            </w14:solidFill>
          </w14:textFill>
        </w:rPr>
        <w:t>。</w:t>
      </w:r>
    </w:p>
    <w:p w14:paraId="1730C329">
      <w:pPr>
        <w:pStyle w:val="6"/>
        <w:overflowPunct w:val="0"/>
        <w:topLinePunct/>
        <w:spacing w:before="312" w:beforeLines="100" w:after="312" w:afterLines="100" w:line="554" w:lineRule="exact"/>
        <w:rPr>
          <w:color w:val="000000" w:themeColor="text1"/>
          <w14:textFill>
            <w14:solidFill>
              <w14:schemeClr w14:val="tx1"/>
            </w14:solidFill>
          </w14:textFill>
        </w:rPr>
      </w:pPr>
      <w:bookmarkStart w:id="71" w:name="_Toc16464"/>
      <w:r>
        <w:rPr>
          <w:rFonts w:hint="eastAsia"/>
          <w:color w:val="000000" w:themeColor="text1"/>
          <w14:textFill>
            <w14:solidFill>
              <w14:schemeClr w14:val="tx1"/>
            </w14:solidFill>
          </w14:textFill>
        </w:rPr>
        <w:t>第三章 优化文化服务和文化产品供给</w:t>
      </w:r>
      <w:bookmarkEnd w:id="71"/>
    </w:p>
    <w:p w14:paraId="3526BD36">
      <w:pPr>
        <w:spacing w:line="554"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加强文化阵地建设。</w:t>
      </w:r>
      <w:r>
        <w:rPr>
          <w:rFonts w:hint="eastAsia" w:ascii="仿宋_GB2312" w:hAnsi="仿宋_GB2312" w:eastAsia="仿宋_GB2312" w:cs="仿宋_GB2312"/>
          <w:color w:val="000000" w:themeColor="text1"/>
          <w:sz w:val="32"/>
          <w:szCs w:val="32"/>
          <w14:textFill>
            <w14:solidFill>
              <w14:schemeClr w14:val="tx1"/>
            </w14:solidFill>
          </w14:textFill>
        </w:rPr>
        <w:t>加快国家公共文化服务体系示范区创新发展，推进市图书馆（文学馆）、市档案馆、市工人文化宫、紫阳民歌艺术中心建设，提升市群艺馆、安康美术馆、安康汉江大剧院等场馆功能。推进公共文化云建设，开展云游览、云直播及云讲解等服务，提升公共文化服务数智化水平。分类推进文化事业单位改革，加强文化人才队伍建设，“一团一策”推进文艺院团改革。推动主流媒体系统性变革，加强新闻宣传和网络舆论一体化管理。鼓励社会力量参与公共文化设施建设运营，丰富文化服务供给主体。聚焦新型文化空间倍增目标，创新拓展城市书房、文化驿站、艺术长廊。到2030年，构建“主客共享”新型公共文化服务空间1000处以上。</w:t>
      </w:r>
    </w:p>
    <w:p w14:paraId="65CC13EA">
      <w:pPr>
        <w:spacing w:line="554" w:lineRule="exact"/>
        <w:ind w:firstLine="643" w:firstLineChars="200"/>
        <w:rPr>
          <w:rFonts w:ascii="仿宋_GB2312" w:eastAsia="仿宋_GB2312"/>
          <w:snapToGrid w:val="0"/>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丰富文化产品供给。</w:t>
      </w:r>
      <w:r>
        <w:rPr>
          <w:rFonts w:hint="eastAsia" w:ascii="仿宋_GB2312" w:eastAsia="仿宋_GB2312"/>
          <w:snapToGrid w:val="0"/>
          <w:color w:val="000000" w:themeColor="text1"/>
          <w:sz w:val="32"/>
          <w:szCs w:val="32"/>
          <w14:textFill>
            <w14:solidFill>
              <w14:schemeClr w14:val="tx1"/>
            </w14:solidFill>
          </w14:textFill>
        </w:rPr>
        <w:t>深入推进紧密型城乡公共文化服务共同体建设，实施公共文化服务提质增效行动和文化惠民工程，促进优质文化资源直达基层。开展文化文艺提升行动，加大名家名作名品扶持奖励力度，繁荣互联网条件下新大众文艺。创新实施文化惠民项目，以线上线下融合模式拓宽服务供给渠道，切实提升惠民举措的覆盖面与实效。</w:t>
      </w:r>
      <w:r>
        <w:rPr>
          <w:rFonts w:hint="eastAsia" w:ascii="仿宋_GB2312" w:hAnsi="仿宋_GB2312" w:eastAsia="仿宋_GB2312" w:cs="仿宋_GB2312"/>
          <w:color w:val="000000" w:themeColor="text1"/>
          <w:sz w:val="32"/>
          <w:szCs w:val="32"/>
          <w14:textFill>
            <w14:solidFill>
              <w14:schemeClr w14:val="tx1"/>
            </w14:solidFill>
          </w14:textFill>
        </w:rPr>
        <w:t>深化全民阅读，建设书香安康，有效提升“三沈”文化影响力，推动书法艺术普及普惠。健全完善影视拍摄服务体系，支持创作优秀影视作品。</w:t>
      </w:r>
      <w:r>
        <w:rPr>
          <w:rFonts w:hint="eastAsia" w:ascii="仿宋_GB2312" w:eastAsia="仿宋_GB2312"/>
          <w:snapToGrid w:val="0"/>
          <w:color w:val="000000" w:themeColor="text1"/>
          <w:sz w:val="32"/>
          <w:szCs w:val="32"/>
          <w14:textFill>
            <w14:solidFill>
              <w14:schemeClr w14:val="tx1"/>
            </w14:solidFill>
          </w14:textFill>
        </w:rPr>
        <w:t>加强文化市场监管，优化文化市场环境，保障文化产品和服务的质量与安全，促进文化市场健康有序发展。</w:t>
      </w:r>
    </w:p>
    <w:p w14:paraId="3F18C53F">
      <w:pPr>
        <w:pStyle w:val="26"/>
        <w:spacing w:line="554" w:lineRule="exact"/>
        <w:ind w:firstLine="643" w:firstLineChars="200"/>
        <w:rPr>
          <w:color w:val="000000" w:themeColor="text1"/>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促进文化产业升级。</w:t>
      </w:r>
      <w:r>
        <w:rPr>
          <w:rFonts w:hint="eastAsia" w:ascii="仿宋_GB2312" w:hAnsi="仿宋_GB2312" w:eastAsia="仿宋_GB2312" w:cs="仿宋_GB2312"/>
          <w:color w:val="000000" w:themeColor="text1"/>
          <w:sz w:val="32"/>
          <w:szCs w:val="32"/>
          <w14:textFill>
            <w14:solidFill>
              <w14:schemeClr w14:val="tx1"/>
            </w14:solidFill>
          </w14:textFill>
        </w:rPr>
        <w:t>围绕文旅融合、创意设计、文化娱乐、影视拍摄、广告传媒、直播电商等重点领域，</w:t>
      </w:r>
      <w:r>
        <w:rPr>
          <w:rFonts w:hint="eastAsia" w:ascii="仿宋_GB2312" w:eastAsia="仿宋_GB2312"/>
          <w:snapToGrid w:val="0"/>
          <w:color w:val="000000" w:themeColor="text1"/>
          <w:sz w:val="32"/>
          <w:szCs w:val="32"/>
          <w14:textFill>
            <w14:solidFill>
              <w14:schemeClr w14:val="tx1"/>
            </w14:solidFill>
          </w14:textFill>
        </w:rPr>
        <w:t>加快市级文化创意产业园、影视基地和文化产业集聚平台建设，支持骨干文化企业提质升级，构建现代文化产业体系。</w:t>
      </w:r>
      <w:r>
        <w:rPr>
          <w:rFonts w:hint="eastAsia" w:ascii="仿宋_GB2312" w:hAnsi="仿宋_GB2312" w:eastAsia="仿宋_GB2312" w:cs="仿宋_GB2312"/>
          <w:color w:val="000000" w:themeColor="text1"/>
          <w:sz w:val="32"/>
          <w:szCs w:val="32"/>
          <w14:textFill>
            <w14:solidFill>
              <w14:schemeClr w14:val="tx1"/>
            </w14:solidFill>
          </w14:textFill>
        </w:rPr>
        <w:t>坚持“文化+百业”“百业+文化”，推动文化与各领域深度融合，培育更多新业态、新模式、新场景。深入推进“文化+体育”融合发展，布局龙舟基地、皮划艇码头等设施，办好品牌赛事，开发体旅融合产品，构建“赛事+旅游+文创+公益”一体化产业链。依托本地丰富的文化资源，将文化展示、艺术创作、休闲娱乐等功能有机结合，为群众提供沉浸式的文化体验空间。</w:t>
      </w:r>
    </w:p>
    <w:p w14:paraId="5F4FBDE8">
      <w:pPr>
        <w:pStyle w:val="5"/>
        <w:overflowPunct w:val="0"/>
        <w:topLinePunct/>
        <w:spacing w:before="312" w:after="312"/>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72834B09">
      <w:pPr>
        <w:pStyle w:val="5"/>
        <w:overflowPunct w:val="0"/>
        <w:topLinePunct/>
        <w:spacing w:before="312" w:after="0" w:afterLines="0"/>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72" w:name="_Toc5283"/>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第九篇 倾力保障和改善民生，提升人民生活</w:t>
      </w:r>
    </w:p>
    <w:p w14:paraId="72791E90">
      <w:pPr>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品质</w:t>
      </w:r>
      <w:bookmarkEnd w:id="72"/>
    </w:p>
    <w:p w14:paraId="514C57C9">
      <w:pPr>
        <w:overflowPunct w:val="0"/>
        <w:topLinePunct/>
        <w:adjustRightInd w:val="0"/>
        <w:snapToGrid w:val="0"/>
        <w:spacing w:line="560" w:lineRule="exact"/>
        <w:ind w:firstLine="640"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p>
    <w:p w14:paraId="6499D26D">
      <w:pPr>
        <w:overflowPunct w:val="0"/>
        <w:topLinePunct/>
        <w:adjustRightInd w:val="0"/>
        <w:snapToGrid w:val="0"/>
        <w:spacing w:line="560" w:lineRule="exact"/>
        <w:ind w:firstLine="640"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坚持以人民为中心，以人民群众对美好生活的向往为导向，立足人的全生命周期和健康全过程，顺应人口发展趋势，坚持尽力而为、量力而行，加强普惠性、基础性、兜底性民生建设，优化公共服务供给，促进人的全面发展和社会全面进步。</w:t>
      </w:r>
    </w:p>
    <w:p w14:paraId="13D84DE9">
      <w:pPr>
        <w:pStyle w:val="6"/>
        <w:overflowPunct w:val="0"/>
        <w:topLinePunct/>
        <w:spacing w:before="312" w:beforeLines="100" w:after="312" w:afterLines="100"/>
        <w:rPr>
          <w:color w:val="000000" w:themeColor="text1"/>
          <w14:textFill>
            <w14:solidFill>
              <w14:schemeClr w14:val="tx1"/>
            </w14:solidFill>
          </w14:textFill>
        </w:rPr>
      </w:pPr>
      <w:bookmarkStart w:id="73" w:name="_Toc30099"/>
      <w:bookmarkStart w:id="74" w:name="_Toc4231"/>
      <w:bookmarkStart w:id="75" w:name="_Toc28631"/>
      <w:r>
        <w:rPr>
          <w:rFonts w:hint="eastAsia"/>
          <w:color w:val="000000" w:themeColor="text1"/>
          <w14:textFill>
            <w14:solidFill>
              <w14:schemeClr w14:val="tx1"/>
            </w14:solidFill>
          </w14:textFill>
        </w:rPr>
        <w:t xml:space="preserve">第一章 </w:t>
      </w:r>
      <w:bookmarkEnd w:id="73"/>
      <w:r>
        <w:rPr>
          <w:rFonts w:hint="eastAsia"/>
          <w:color w:val="000000" w:themeColor="text1"/>
          <w14:textFill>
            <w14:solidFill>
              <w14:schemeClr w14:val="tx1"/>
            </w14:solidFill>
          </w14:textFill>
        </w:rPr>
        <w:t>促进城乡居民稳定就业增收</w:t>
      </w:r>
      <w:bookmarkEnd w:id="74"/>
    </w:p>
    <w:p w14:paraId="16053C69">
      <w:pPr>
        <w:overflowPunct w:val="0"/>
        <w:topLinePunct/>
        <w:adjustRightInd w:val="0"/>
        <w:snapToGrid w:val="0"/>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稳定扩大就业岗位。</w:t>
      </w:r>
      <w:r>
        <w:rPr>
          <w:rFonts w:hint="eastAsia" w:ascii="仿宋_GB2312" w:hAnsi="仿宋_GB2312" w:eastAsia="仿宋_GB2312" w:cs="仿宋_GB2312"/>
          <w:color w:val="000000" w:themeColor="text1"/>
          <w:sz w:val="32"/>
          <w:szCs w:val="32"/>
          <w14:textFill>
            <w14:solidFill>
              <w14:schemeClr w14:val="tx1"/>
            </w14:solidFill>
          </w14:textFill>
        </w:rPr>
        <w:t>坚持就业优先战略，健全就业促进机制，构建就业友好型发展方式。实施稳岗扩容行动，强化产业和就业协同，发展壮大劳动密集型产业，培育新职业新岗位。发挥国有企业就业引领作用和民营企业吸纳就业的主渠道作用，引导各类主体履行稳岗扩岗社会责任。充分发挥公共实训基地引领作用，实施职业技能提升、劳务品牌培育、就业服务提质“三项工程”，完善公共就业服务体系，全面提升职业能力和就业质量。建立就业信息动态监测机制，实时掌握就业市场供求变化，精准对接企业用工需求和劳动者求职意愿，提高就业服务的针对性和实效性。完善创业扶持政策，降低创业门槛，提供创业培训、指导、担保贷款等服务，激发全民创业热情，拓宽稳岗就业渠道。</w:t>
      </w:r>
    </w:p>
    <w:p w14:paraId="128EBED0">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抓好重点群体就业。</w:t>
      </w:r>
      <w:r>
        <w:rPr>
          <w:rFonts w:hint="eastAsia" w:ascii="仿宋_GB2312" w:hAnsi="仿宋_GB2312" w:eastAsia="仿宋_GB2312" w:cs="仿宋_GB2312"/>
          <w:color w:val="000000" w:themeColor="text1"/>
          <w:sz w:val="32"/>
          <w:szCs w:val="32"/>
          <w14:textFill>
            <w14:solidFill>
              <w14:schemeClr w14:val="tx1"/>
            </w14:solidFill>
          </w14:textFill>
        </w:rPr>
        <w:t>统筹做好高校毕业生、农民工、</w:t>
      </w:r>
      <w:r>
        <w:rPr>
          <w:rFonts w:ascii="仿宋_GB2312" w:hAnsi="仿宋_GB2312" w:eastAsia="仿宋_GB2312" w:cs="仿宋_GB2312"/>
          <w:color w:val="000000" w:themeColor="text1"/>
          <w:sz w:val="32"/>
          <w:szCs w:val="32"/>
          <w14:textFill>
            <w14:solidFill>
              <w14:schemeClr w14:val="tx1"/>
            </w14:solidFill>
          </w14:textFill>
        </w:rPr>
        <w:t>退役军人</w:t>
      </w:r>
      <w:r>
        <w:rPr>
          <w:rFonts w:hint="eastAsia" w:ascii="仿宋_GB2312" w:hAnsi="仿宋_GB2312" w:eastAsia="仿宋_GB2312" w:cs="仿宋_GB2312"/>
          <w:color w:val="000000" w:themeColor="text1"/>
          <w:sz w:val="32"/>
          <w:szCs w:val="32"/>
          <w14:textFill>
            <w14:solidFill>
              <w14:schemeClr w14:val="tx1"/>
            </w14:solidFill>
          </w14:textFill>
        </w:rPr>
        <w:t>、残疾人等重点群体就业工作。拓展高校毕业生等青年就业成才渠道，强化职业指导、技能培训等服务支撑。实施大学生创业就业行动计划，</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吸引安康籍大学生回流、本地高校毕业生留城、外地毕业大学生来安，</w:t>
      </w:r>
      <w:r>
        <w:rPr>
          <w:rFonts w:hint="eastAsia" w:ascii="仿宋_GB2312" w:hAnsi="仿宋_GB2312" w:eastAsia="仿宋_GB2312" w:cs="仿宋_GB2312"/>
          <w:color w:val="000000" w:themeColor="text1"/>
          <w:sz w:val="32"/>
          <w:szCs w:val="32"/>
          <w14:textFill>
            <w14:solidFill>
              <w14:schemeClr w14:val="tx1"/>
            </w14:solidFill>
          </w14:textFill>
        </w:rPr>
        <w:t>促进创业带动就业</w:t>
      </w:r>
      <w:r>
        <w:rPr>
          <w:rFonts w:hint="eastAsia" w:ascii="仿宋_GB2312" w:hAnsi="仿宋_GB2312" w:eastAsia="仿宋_GB2312" w:cs="仿宋_GB2312"/>
          <w:color w:val="000000" w:themeColor="text1"/>
          <w:sz w:val="32"/>
          <w:szCs w:val="32"/>
          <w:lang w:bidi="ar"/>
          <w14:textFill>
            <w14:solidFill>
              <w14:schemeClr w14:val="tx1"/>
            </w14:solidFill>
          </w14:textFill>
        </w:rPr>
        <w:t>。拓宽农村劳动力就业空间，畅通有序外出务工渠道</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完善返乡入乡创业支持政策。拓展搬迁群众就业渠道，让搬迁群众稳得住、能致富。</w:t>
      </w:r>
      <w:r>
        <w:rPr>
          <w:rFonts w:hint="eastAsia" w:ascii="仿宋_GB2312" w:hAnsi="仿宋_GB2312" w:eastAsia="仿宋_GB2312" w:cs="仿宋_GB2312"/>
          <w:color w:val="000000" w:themeColor="text1"/>
          <w:sz w:val="32"/>
          <w:szCs w:val="32"/>
          <w:lang w:bidi="ar"/>
          <w14:textFill>
            <w14:solidFill>
              <w14:schemeClr w14:val="tx1"/>
            </w14:solidFill>
          </w14:textFill>
        </w:rPr>
        <w:t>健全退役军人就业创业服务体系，提高退役军人就业吸纳能力。</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落实就业专项扶持政策，开发公益性岗位，解决弱劳动力就业难题。</w:t>
      </w:r>
    </w:p>
    <w:p w14:paraId="0FB62C75">
      <w:pPr>
        <w:spacing w:line="560"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促进居民稳定增收。</w:t>
      </w:r>
      <w:r>
        <w:rPr>
          <w:rFonts w:hint="eastAsia" w:ascii="仿宋_GB2312" w:hAnsi="仿宋_GB2312" w:eastAsia="仿宋_GB2312" w:cs="仿宋_GB2312"/>
          <w:color w:val="000000" w:themeColor="text1"/>
          <w:sz w:val="32"/>
          <w:szCs w:val="32"/>
          <w14:textFill>
            <w14:solidFill>
              <w14:schemeClr w14:val="tx1"/>
            </w14:solidFill>
          </w14:textFill>
        </w:rPr>
        <w:t>优化收入分配格局，提高低收入群体收入，扩大中等收入群体。健全完善居民收入和经济增长同步、劳动报酬与生产率提高同步的收入增长机制，提升居民工资性收入比重。丰富普惠金融产品供给，引导和鼓励居民合理配置金融资产，提升资本市场回报率。支持发展新型农村集体经济，稳慎推进农村闲置资源盘活利用，实现土地资源依法有序流转，提高居民财产性收入比重。有效落实最低生活保障、养老、医疗和失业保险制度，适度提高最低生活保障标准，及时足额兑现各项惠民补贴，保障居民转移性收入增长。</w:t>
      </w:r>
    </w:p>
    <w:p w14:paraId="34FA6580">
      <w:pPr>
        <w:pStyle w:val="6"/>
        <w:overflowPunct w:val="0"/>
        <w:topLinePunct/>
        <w:spacing w:before="312" w:beforeLines="100" w:after="312" w:afterLines="100"/>
        <w:rPr>
          <w:color w:val="000000" w:themeColor="text1"/>
          <w14:textFill>
            <w14:solidFill>
              <w14:schemeClr w14:val="tx1"/>
            </w14:solidFill>
          </w14:textFill>
        </w:rPr>
      </w:pPr>
      <w:bookmarkStart w:id="76" w:name="_Toc12314"/>
      <w:bookmarkStart w:id="77" w:name="_Toc23534"/>
      <w:r>
        <w:rPr>
          <w:rFonts w:hint="eastAsia"/>
          <w:color w:val="000000" w:themeColor="text1"/>
          <w14:textFill>
            <w14:solidFill>
              <w14:schemeClr w14:val="tx1"/>
            </w14:solidFill>
          </w14:textFill>
        </w:rPr>
        <w:t xml:space="preserve">第二章 </w:t>
      </w:r>
      <w:bookmarkEnd w:id="76"/>
      <w:r>
        <w:rPr>
          <w:rFonts w:hint="eastAsia"/>
          <w:color w:val="000000" w:themeColor="text1"/>
          <w14:textFill>
            <w14:solidFill>
              <w14:schemeClr w14:val="tx1"/>
            </w14:solidFill>
          </w14:textFill>
        </w:rPr>
        <w:t>办好人民满意的教育</w:t>
      </w:r>
      <w:bookmarkEnd w:id="77"/>
    </w:p>
    <w:p w14:paraId="65A4F3BD">
      <w:pPr>
        <w:overflowPunct w:val="0"/>
        <w:topLinePunct/>
        <w:adjustRightInd w:val="0"/>
        <w:snapToGrid w:val="0"/>
        <w:spacing w:line="560" w:lineRule="exact"/>
        <w:ind w:firstLine="643" w:firstLineChars="200"/>
        <w:rPr>
          <w:rFonts w:ascii="仿宋_GB2312" w:hAnsi="楷体_GB2312" w:eastAsia="仿宋_GB2312" w:cs="楷体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促进基础教育扩优提质。</w:t>
      </w:r>
      <w:r>
        <w:rPr>
          <w:rFonts w:hint="eastAsia" w:ascii="仿宋_GB2312" w:hAnsi="楷体_GB2312" w:eastAsia="仿宋_GB2312" w:cs="楷体_GB2312"/>
          <w:snapToGrid w:val="0"/>
          <w:color w:val="000000" w:themeColor="text1"/>
          <w:kern w:val="0"/>
          <w:sz w:val="32"/>
          <w:szCs w:val="32"/>
          <w14:textFill>
            <w14:solidFill>
              <w14:schemeClr w14:val="tx1"/>
            </w14:solidFill>
          </w14:textFill>
        </w:rPr>
        <w:t>适应人口变化趋势，深化紧密型城乡教育共同体建设，拓展优质教育资源覆盖面。推动学前教育优质普惠发展，开展学龄人口动态监测，稳步推进学前教育免费，积极引导和支持民办幼儿园提供普惠性服务，形成覆盖城乡、布局合理、普及普惠的学前教育体系。实施基础教育扩优提质行动，统筹义务教育优质均衡发展，加强义务教育学校标准化建设。开展县域普通高中振兴行动，推进高中教育特色多样发展，优化高中教育资源配置，深化普通高中课程改革。通过特岗教师招聘、事业单位招聘、高层次人才引进、公费师范生和优师计划毕业生安置、三区人才支持计划、银龄教师计划等方式，及时补充师资力量。</w:t>
      </w:r>
    </w:p>
    <w:p w14:paraId="1D6D3CED">
      <w:pPr>
        <w:pStyle w:val="26"/>
        <w:spacing w:line="560" w:lineRule="exact"/>
        <w:ind w:firstLine="643" w:firstLineChars="200"/>
        <w:rPr>
          <w:rFonts w:ascii="楷体_GB2312" w:hAnsi="楷体_GB2312" w:eastAsia="楷体_GB2312" w:cs="楷体_GB2312"/>
          <w:b/>
          <w:bCs/>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推动高等教育融合发展。</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支持安康学院持续改善办学条件，推进安康学院更名为“安康大学”</w:t>
      </w:r>
      <w:r>
        <w:rPr>
          <w:rFonts w:hint="eastAsia" w:ascii="仿宋_GB2312" w:hAnsi="楷体_GB2312" w:eastAsia="仿宋_GB2312" w:cs="楷体_GB2312"/>
          <w:snapToGrid w:val="0"/>
          <w:color w:val="000000" w:themeColor="text1"/>
          <w:kern w:val="0"/>
          <w:sz w:val="32"/>
          <w:szCs w:val="32"/>
          <w14:textFill>
            <w14:solidFill>
              <w14:schemeClr w14:val="tx1"/>
            </w14:solidFill>
          </w14:textFill>
        </w:rPr>
        <w:t>，推动硕士点扩容提质，支持多学科融合发展，构建紧密对接创新链、产业链的学科专业体系，建设一批高水平创新平台。支持高校深度参与安康在“推动陕南一体化协作”“融入三大经济圈”和“承接中东部产业转移”等重点领域工作。与西安交通大学医学部共建“秦巴医药科技成果转化平台”，推动富硒功能食品、生物医药等领域技术攻关。鼓励高校教师带技术、带团队与企业联合攻关，成果转化收益按比例分配。组建由本地高校、政府部门、相关企业及省内外高校专家组成的“安康高质量发展智库”，围绕富硒产业、生态旅游、绿色制造等领域开展战略研究，为推动高质量发展提供智力支持。</w:t>
      </w:r>
    </w:p>
    <w:p w14:paraId="3E5A2389">
      <w:pPr>
        <w:overflowPunct w:val="0"/>
        <w:topLinePunct/>
        <w:adjustRightInd w:val="0"/>
        <w:snapToGrid w:val="0"/>
        <w:spacing w:line="560" w:lineRule="exact"/>
        <w:ind w:firstLine="643" w:firstLineChars="200"/>
        <w:rPr>
          <w:rFonts w:ascii="仿宋_GB2312" w:hAnsi="楷体_GB2312" w:eastAsia="仿宋_GB2312" w:cs="楷体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推进职业教育提质赋能。</w:t>
      </w:r>
      <w:r>
        <w:rPr>
          <w:rFonts w:hint="eastAsia" w:ascii="仿宋_GB2312" w:hAnsi="楷体_GB2312" w:eastAsia="仿宋_GB2312" w:cs="楷体_GB2312"/>
          <w:snapToGrid w:val="0"/>
          <w:color w:val="000000" w:themeColor="text1"/>
          <w:kern w:val="0"/>
          <w:sz w:val="32"/>
          <w:szCs w:val="32"/>
          <w14:textFill>
            <w14:solidFill>
              <w14:schemeClr w14:val="tx1"/>
            </w14:solidFill>
          </w14:textFill>
        </w:rPr>
        <w:t>持续提升职业学校办学能力，“一校一策”明确办学方向与定位，形成与市场需求相适应、与产业结构相匹配的现代职业教育结构和布局，办好“少而精”的中等职业学校。支持安康职业技术学院推进“新双高”建设，加快创建职业教育本科院校，围绕发展所需调整优化专业设置</w:t>
      </w: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w:t>
      </w:r>
      <w:r>
        <w:rPr>
          <w:rFonts w:hint="eastAsia" w:ascii="仿宋_GB2312" w:hAnsi="楷体_GB2312" w:eastAsia="仿宋_GB2312" w:cs="楷体_GB2312"/>
          <w:snapToGrid w:val="0"/>
          <w:color w:val="000000" w:themeColor="text1"/>
          <w:kern w:val="0"/>
          <w:sz w:val="32"/>
          <w:szCs w:val="32"/>
          <w14:textFill>
            <w14:solidFill>
              <w14:schemeClr w14:val="tx1"/>
            </w14:solidFill>
          </w14:textFill>
        </w:rPr>
        <w:t>优化完善职普融通多元立交培养机制，推动优质中等职业学校与高等职业教育一体化衔接培养。推进产教融合、校企协作，对标产业链和人才链需求，对标岗位就业和职业发展需求，完善产业、行业、企业、职业、专业、就业联动的职业教育产教融合机制。充分发挥职业学校聚集效应和综合培训功能，开展职业技能和就业创业培训，提升服务保障能力。</w:t>
      </w:r>
    </w:p>
    <w:p w14:paraId="1CACE5F0">
      <w:pPr>
        <w:overflowPunct w:val="0"/>
        <w:topLinePunct/>
        <w:adjustRightInd w:val="0"/>
        <w:snapToGrid w:val="0"/>
        <w:spacing w:line="560" w:lineRule="exact"/>
        <w:ind w:firstLine="643" w:firstLineChars="200"/>
        <w:rPr>
          <w:rFonts w:ascii="仿宋_GB2312" w:hAnsi="楷体_GB2312" w:eastAsia="仿宋_GB2312" w:cs="楷体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引导其他形式教育规范发展。</w:t>
      </w:r>
      <w:r>
        <w:rPr>
          <w:rFonts w:hint="eastAsia" w:ascii="仿宋_GB2312" w:hAnsi="楷体_GB2312" w:eastAsia="仿宋_GB2312" w:cs="楷体_GB2312"/>
          <w:snapToGrid w:val="0"/>
          <w:color w:val="000000" w:themeColor="text1"/>
          <w:kern w:val="0"/>
          <w:sz w:val="32"/>
          <w:szCs w:val="32"/>
          <w14:textFill>
            <w14:solidFill>
              <w14:schemeClr w14:val="tx1"/>
            </w14:solidFill>
          </w14:textFill>
        </w:rPr>
        <w:t>强化特殊教育优质融合发展，支持特殊教育学校积极开展职业启蒙教育和劳动教育。完善学段贯通、适宜融合、优质普惠的特殊教育办学体系，扩大优质特殊教育资源供给，为残疾少年儿童提供更加适合的教育。推动专门教育有序发展，有效预防未成年人犯罪。</w:t>
      </w:r>
      <w:r>
        <w:rPr>
          <w:rFonts w:hint="eastAsia" w:ascii="仿宋_GB2312" w:eastAsia="仿宋_GB2312"/>
          <w:color w:val="000000" w:themeColor="text1"/>
          <w:sz w:val="32"/>
          <w:szCs w:val="32"/>
          <w14:textFill>
            <w14:solidFill>
              <w14:schemeClr w14:val="tx1"/>
            </w14:solidFill>
          </w14:textFill>
        </w:rPr>
        <w:t>促进民办教育健康规范发展，提高质量、办出特色，形成以政府办学为主体、全社会积极参与、公办教育与民办教育相互促进的良好教育生态</w:t>
      </w:r>
      <w:r>
        <w:rPr>
          <w:rFonts w:hint="eastAsia" w:ascii="仿宋_GB2312" w:hAnsi="楷体_GB2312" w:eastAsia="仿宋_GB2312" w:cs="楷体_GB2312"/>
          <w:snapToGrid w:val="0"/>
          <w:color w:val="000000" w:themeColor="text1"/>
          <w:kern w:val="0"/>
          <w:sz w:val="32"/>
          <w:szCs w:val="32"/>
          <w14:textFill>
            <w14:solidFill>
              <w14:schemeClr w14:val="tx1"/>
            </w14:solidFill>
          </w14:textFill>
        </w:rPr>
        <w:t>。</w:t>
      </w:r>
    </w:p>
    <w:p w14:paraId="193E9D77">
      <w:pPr>
        <w:overflowPunct w:val="0"/>
        <w:topLinePunct/>
        <w:adjustRightInd w:val="0"/>
        <w:snapToGrid w:val="0"/>
        <w:spacing w:line="560" w:lineRule="exact"/>
        <w:ind w:firstLine="643" w:firstLineChars="200"/>
        <w:rPr>
          <w:rFonts w:ascii="仿宋_GB2312" w:hAnsi="楷体_GB2312" w:eastAsia="仿宋_GB2312" w:cs="楷体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深化教育体制机制改革。</w:t>
      </w:r>
      <w:r>
        <w:rPr>
          <w:rFonts w:hint="eastAsia" w:ascii="仿宋_GB2312" w:hAnsi="楷体_GB2312" w:eastAsia="仿宋_GB2312" w:cs="楷体_GB2312"/>
          <w:snapToGrid w:val="0"/>
          <w:color w:val="000000" w:themeColor="text1"/>
          <w:kern w:val="0"/>
          <w:sz w:val="32"/>
          <w:szCs w:val="32"/>
          <w14:textFill>
            <w14:solidFill>
              <w14:schemeClr w14:val="tx1"/>
            </w14:solidFill>
          </w14:textFill>
        </w:rPr>
        <w:t>健全学校、家庭、社会协同育人机制，组建专业指导团队，常态化开展家庭教育指导与主题实践，持续深化家校社协同育人“教联体”建设，构建全方位育人新格局，助力学生全面发展。大力弘扬教育家精神，加强新时代高素质专业化教师队伍建设。完善教师待遇保障机制，确保教师工资待遇稳步提升，改善教师工作和生活条件。推进教育数字化基础设施建设，搭建智慧教育平台，整合优质教育资源，为学习者提供个性化、精准化学习服务。</w:t>
      </w:r>
    </w:p>
    <w:p w14:paraId="4D600B76">
      <w:pPr>
        <w:pStyle w:val="6"/>
        <w:overflowPunct w:val="0"/>
        <w:topLinePunct/>
        <w:spacing w:before="312" w:beforeLines="100" w:after="312" w:afterLines="100"/>
        <w:rPr>
          <w:color w:val="000000" w:themeColor="text1"/>
          <w14:textFill>
            <w14:solidFill>
              <w14:schemeClr w14:val="tx1"/>
            </w14:solidFill>
          </w14:textFill>
        </w:rPr>
      </w:pPr>
      <w:bookmarkStart w:id="78" w:name="_Toc20561"/>
      <w:bookmarkStart w:id="79" w:name="_Toc32622"/>
      <w:r>
        <w:rPr>
          <w:rFonts w:hint="eastAsia"/>
          <w:color w:val="000000" w:themeColor="text1"/>
          <w14:textFill>
            <w14:solidFill>
              <w14:schemeClr w14:val="tx1"/>
            </w14:solidFill>
          </w14:textFill>
        </w:rPr>
        <w:t xml:space="preserve">第三章 </w:t>
      </w:r>
      <w:bookmarkEnd w:id="78"/>
      <w:r>
        <w:rPr>
          <w:rFonts w:hint="eastAsia"/>
          <w:color w:val="000000" w:themeColor="text1"/>
          <w14:textFill>
            <w14:solidFill>
              <w14:schemeClr w14:val="tx1"/>
            </w14:solidFill>
          </w14:textFill>
        </w:rPr>
        <w:t>优化体育服务供给</w:t>
      </w:r>
      <w:bookmarkEnd w:id="79"/>
    </w:p>
    <w:p w14:paraId="0C8B6873">
      <w:pPr>
        <w:spacing w:line="56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构建全民健身服务体系。</w:t>
      </w:r>
      <w:r>
        <w:rPr>
          <w:rFonts w:hint="eastAsia" w:ascii="仿宋_GB2312" w:eastAsia="仿宋_GB2312"/>
          <w:color w:val="000000" w:themeColor="text1"/>
          <w:sz w:val="32"/>
          <w:szCs w:val="32"/>
          <w14:textFill>
            <w14:solidFill>
              <w14:schemeClr w14:val="tx1"/>
            </w14:solidFill>
          </w14:textFill>
        </w:rPr>
        <w:t>实施全民健身设施补短板工程，</w:t>
      </w:r>
      <w:r>
        <w:rPr>
          <w:rFonts w:hint="eastAsia" w:ascii="仿宋_GB2312" w:hAnsi="楷体_GB2312" w:eastAsia="仿宋_GB2312" w:cs="楷体_GB2312"/>
          <w:snapToGrid w:val="0"/>
          <w:color w:val="000000" w:themeColor="text1"/>
          <w:kern w:val="0"/>
          <w:sz w:val="32"/>
          <w:szCs w:val="32"/>
          <w14:textFill>
            <w14:solidFill>
              <w14:schemeClr w14:val="tx1"/>
            </w14:solidFill>
          </w14:textFill>
        </w:rPr>
        <w:t>推进公共体育设施提档升级，</w:t>
      </w:r>
      <w:r>
        <w:rPr>
          <w:rFonts w:hint="eastAsia" w:ascii="仿宋_GB2312" w:eastAsia="仿宋_GB2312"/>
          <w:color w:val="000000" w:themeColor="text1"/>
          <w:sz w:val="32"/>
          <w:szCs w:val="32"/>
          <w14:textFill>
            <w14:solidFill>
              <w14:schemeClr w14:val="tx1"/>
            </w14:solidFill>
          </w14:textFill>
        </w:rPr>
        <w:t>加快公共体育场馆、健身场所的无障碍环境建设和适老化改造，建设小型多样的健身设施，加大全民健身运动项目培训、推广、普及力度。推动群众性赛事活动经常化、大众化、特色化、生活化，支持举办区域性、综合性体育赛事，鼓励举办残疾人群众性体育赛事和康复健身活动。持续办好陕西安康生态运动会等品牌赛事，培育更多地方精品赛事品牌。大力实施《国家体育锻炼标准》，推动全民体育锻炼、体质监测常态化长效化。壮大体育协会队伍，推进各类体育组织向镇村、街道社区延伸，赋能全民健身发展。</w:t>
      </w:r>
    </w:p>
    <w:p w14:paraId="58703C71">
      <w:pPr>
        <w:spacing w:line="56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提升竞技体育综合实力。</w:t>
      </w:r>
      <w:r>
        <w:rPr>
          <w:rFonts w:hint="eastAsia" w:ascii="仿宋_GB2312" w:eastAsia="仿宋_GB2312"/>
          <w:color w:val="000000" w:themeColor="text1"/>
          <w:sz w:val="32"/>
          <w:szCs w:val="32"/>
          <w14:textFill>
            <w14:solidFill>
              <w14:schemeClr w14:val="tx1"/>
            </w14:solidFill>
          </w14:textFill>
        </w:rPr>
        <w:t>优化竞技体育项目布局，巩固提升传统优势项目，积极发展特色项目，支持残疾人运动项目，适度引进新兴项目。加强教练员队伍建设，提高教练员业务水平和综合素质。完善训练设施设备，优化训练方式方法，提高科学训练水平。完善并落实各类赛事奖励激励和保障政策，维护运动员切身利益。加强与国内外高水平体育团队交流合作，共同举办体育赛事和培训项目，提升竞技体育整体水平。</w:t>
      </w:r>
    </w:p>
    <w:p w14:paraId="42624EE2">
      <w:pPr>
        <w:spacing w:line="56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加强青少年体育工作。</w:t>
      </w:r>
      <w:r>
        <w:rPr>
          <w:rFonts w:hint="eastAsia" w:ascii="仿宋_GB2312" w:eastAsia="仿宋_GB2312"/>
          <w:color w:val="000000" w:themeColor="text1"/>
          <w:sz w:val="32"/>
          <w:szCs w:val="32"/>
          <w14:textFill>
            <w14:solidFill>
              <w14:schemeClr w14:val="tx1"/>
            </w14:solidFill>
          </w14:textFill>
        </w:rPr>
        <w:t>推进青少年体育与学校体育融合发展，办好各级各类青少年体育赛事活动，促进青少年健康发展。增加面向青少年的体育资源供给和配置，加强科学健身指导，激发青少年参与体育运动热情。支持少年儿童体育运动学校和体育传统特色学校高质量发展。</w:t>
      </w:r>
    </w:p>
    <w:p w14:paraId="2C3974C1">
      <w:pPr>
        <w:numPr>
          <w:ilvl w:val="255"/>
          <w:numId w:val="0"/>
        </w:numPr>
        <w:spacing w:line="56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推动体育产业高质量发展。</w:t>
      </w:r>
      <w:r>
        <w:rPr>
          <w:rFonts w:hint="eastAsia" w:ascii="仿宋_GB2312" w:eastAsia="仿宋_GB2312"/>
          <w:color w:val="000000" w:themeColor="text1"/>
          <w:sz w:val="32"/>
          <w:szCs w:val="32"/>
          <w14:textFill>
            <w14:solidFill>
              <w14:schemeClr w14:val="tx1"/>
            </w14:solidFill>
          </w14:textFill>
        </w:rPr>
        <w:t>推动体旅文商农融合发展，不断壮大赛事经济规模。加大对体育企业的扶持力度，培育一批具有竞争力的龙头企业。鼓励社会资本投资体育产业，支持本土体育企业做大做强。推动体育与旅游、文化、健康、养老等产业深度融合，利用安康丰富的生态资源，大力发展水上、山地、冰雪等户外运动产业，培育体育消费新热点。</w:t>
      </w:r>
    </w:p>
    <w:p w14:paraId="4D3271C5">
      <w:pPr>
        <w:pStyle w:val="6"/>
        <w:overflowPunct w:val="0"/>
        <w:topLinePunct/>
        <w:spacing w:before="312" w:beforeLines="100" w:after="312" w:afterLines="100"/>
        <w:rPr>
          <w:color w:val="000000" w:themeColor="text1"/>
          <w14:textFill>
            <w14:solidFill>
              <w14:schemeClr w14:val="tx1"/>
            </w14:solidFill>
          </w14:textFill>
        </w:rPr>
      </w:pPr>
      <w:bookmarkStart w:id="80" w:name="_Toc31492"/>
      <w:r>
        <w:rPr>
          <w:rFonts w:hint="eastAsia"/>
          <w:color w:val="000000" w:themeColor="text1"/>
          <w14:textFill>
            <w14:solidFill>
              <w14:schemeClr w14:val="tx1"/>
            </w14:solidFill>
          </w14:textFill>
        </w:rPr>
        <w:t>第四章 健全社会保障体系</w:t>
      </w:r>
      <w:bookmarkEnd w:id="80"/>
    </w:p>
    <w:p w14:paraId="278D8912">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完善多层次社会保障体系。</w:t>
      </w:r>
      <w:r>
        <w:rPr>
          <w:rFonts w:hint="eastAsia" w:ascii="仿宋_GB2312" w:hAnsi="楷体_GB2312" w:eastAsia="仿宋_GB2312" w:cs="楷体_GB2312"/>
          <w:color w:val="000000" w:themeColor="text1"/>
          <w:sz w:val="32"/>
          <w:szCs w:val="32"/>
          <w14:textFill>
            <w14:solidFill>
              <w14:schemeClr w14:val="tx1"/>
            </w14:solidFill>
          </w14:textFill>
        </w:rPr>
        <w:t>健全基本养老保险筹资和待遇合理调整机制，完善医疗、</w:t>
      </w:r>
      <w:r>
        <w:rPr>
          <w:rFonts w:hint="eastAsia" w:ascii="仿宋_GB2312" w:hAnsi="仿宋_GB2312" w:eastAsia="仿宋_GB2312" w:cs="仿宋_GB2312"/>
          <w:color w:val="000000" w:themeColor="text1"/>
          <w:sz w:val="32"/>
          <w:szCs w:val="32"/>
          <w14:textFill>
            <w14:solidFill>
              <w14:schemeClr w14:val="tx1"/>
            </w14:solidFill>
          </w14:textFill>
        </w:rPr>
        <w:t>工伤</w:t>
      </w:r>
      <w:r>
        <w:rPr>
          <w:rFonts w:hint="eastAsia" w:ascii="仿宋_GB2312" w:hAnsi="楷体_GB2312" w:eastAsia="仿宋_GB2312" w:cs="楷体_GB2312"/>
          <w:color w:val="000000" w:themeColor="text1"/>
          <w:sz w:val="32"/>
          <w:szCs w:val="32"/>
          <w14:textFill>
            <w14:solidFill>
              <w14:schemeClr w14:val="tx1"/>
            </w14:solidFill>
          </w14:textFill>
        </w:rPr>
        <w:t>、生育、失业和职工互助保障等保险制度，规范推动商业健康保险发展，提高灵活就业人员、农民工、新就业人员参保率</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发展企业年金、职业年金、商业养老保险，统筹提高退休人员基本养老金待遇和城乡居民基础养老金标准。加强社会保障经办服务能力建设，推进社保经办数字化转型，提升社保服务标准化、规范化、便利化水平。完善社会保险关系转移接续政策，促进劳动力合理流动。加强社会保障基金监管，确保基金安全可持续运行。</w:t>
      </w:r>
    </w:p>
    <w:p w14:paraId="4847204D">
      <w:pPr>
        <w:overflowPunct w:val="0"/>
        <w:topLinePunct/>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保障重点人群发展权益。</w:t>
      </w:r>
      <w:r>
        <w:rPr>
          <w:rFonts w:hint="eastAsia" w:ascii="仿宋_GB2312" w:hAnsi="楷体_GB2312" w:eastAsia="仿宋_GB2312" w:cs="楷体_GB2312"/>
          <w:color w:val="000000" w:themeColor="text1"/>
          <w:sz w:val="32"/>
          <w:szCs w:val="32"/>
          <w14:textFill>
            <w14:solidFill>
              <w14:schemeClr w14:val="tx1"/>
            </w14:solidFill>
          </w14:textFill>
        </w:rPr>
        <w:t>完善最低生活保障、医疗救助等制度，加强重点群体社会保障和关爱服务。全面落实军人抚恤优待政策，做好服务保障，扎实推进新时代拥军优属、拥政爱民工作。</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大力发展青少年事业，加强青少年教育活动阵地建设。提高妇女参与政治、经济发展和社会治理水平，严厉打击侵害妇女权利的违法犯罪行为。坚持儿童优先发展，强化对儿童生存权、发展权、受保护权和参与权的依法保障和社会责任。注重加强和改进未成年人权益保护，强化未成年人犯罪预防和治理，严厉打击侵害未成年人权益违法犯罪行为。完善残疾人社会福利制度，扩大残疾人社会保险覆盖面，加快发展重度残疾人照护和托养服务。</w:t>
      </w:r>
    </w:p>
    <w:p w14:paraId="44CAD8DA">
      <w:pPr>
        <w:overflowPunct w:val="0"/>
        <w:topLinePunct/>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完善住房保障制度。</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因地制宜发展保障性住房，完善公租房、保障性租赁住房和配售型保障性住房供应体系，满足城镇工薪群体和各类困难家庭基本住房需求。</w:t>
      </w:r>
      <w:r>
        <w:rPr>
          <w:rFonts w:hint="eastAsia" w:ascii="仿宋_GB2312" w:hAnsi="黑体" w:eastAsia="仿宋_GB2312" w:cs="Times New Roman"/>
          <w:color w:val="000000" w:themeColor="text1"/>
          <w:sz w:val="32"/>
          <w:szCs w:val="44"/>
          <w14:textFill>
            <w14:solidFill>
              <w14:schemeClr w14:val="tx1"/>
            </w14:solidFill>
          </w14:textFill>
        </w:rPr>
        <w:t>坚持以需定建、以需定购，科学制定住房保障计划，通过新建住房、收购存量商品住房等方式，增加保障性住房供应</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加强保障性住房工程质量监管，打造高品质住房。鼓励社会力量参与保障性住房建设和运营，拓宽资金来源渠道，提高保障性住房供给效率。建立健全保障性住房准入、退出机制，确保公平公正分配，让真正有需求的家庭受益。</w:t>
      </w:r>
    </w:p>
    <w:p w14:paraId="524EF714">
      <w:pPr>
        <w:pStyle w:val="6"/>
        <w:overflowPunct w:val="0"/>
        <w:topLinePunct/>
        <w:spacing w:before="312" w:beforeLines="100" w:after="312" w:afterLines="100"/>
        <w:rPr>
          <w:color w:val="000000" w:themeColor="text1"/>
          <w14:textFill>
            <w14:solidFill>
              <w14:schemeClr w14:val="tx1"/>
            </w14:solidFill>
          </w14:textFill>
        </w:rPr>
      </w:pPr>
      <w:bookmarkStart w:id="81" w:name="_Toc32286"/>
      <w:bookmarkStart w:id="82" w:name="_Toc23092"/>
      <w:bookmarkStart w:id="83" w:name="_Toc2841"/>
      <w:bookmarkStart w:id="84" w:name="_Toc12407"/>
      <w:r>
        <w:rPr>
          <w:rFonts w:hint="eastAsia"/>
          <w:color w:val="000000" w:themeColor="text1"/>
          <w14:textFill>
            <w14:solidFill>
              <w14:schemeClr w14:val="tx1"/>
            </w14:solidFill>
          </w14:textFill>
        </w:rPr>
        <w:t xml:space="preserve">第五章 </w:t>
      </w:r>
      <w:bookmarkEnd w:id="81"/>
      <w:bookmarkEnd w:id="82"/>
      <w:bookmarkEnd w:id="83"/>
      <w:r>
        <w:rPr>
          <w:rFonts w:hint="eastAsia"/>
          <w:color w:val="000000" w:themeColor="text1"/>
          <w14:textFill>
            <w14:solidFill>
              <w14:schemeClr w14:val="tx1"/>
            </w14:solidFill>
          </w14:textFill>
        </w:rPr>
        <w:t>推进健康安康建设</w:t>
      </w:r>
      <w:bookmarkEnd w:id="84"/>
    </w:p>
    <w:p w14:paraId="7031A6E0">
      <w:pPr>
        <w:overflowPunct w:val="0"/>
        <w:topLinePunct/>
        <w:adjustRightInd w:val="0"/>
        <w:snapToGrid w:val="0"/>
        <w:spacing w:line="560" w:lineRule="exact"/>
        <w:ind w:firstLine="643" w:firstLineChars="200"/>
        <w:rPr>
          <w:color w:val="000000" w:themeColor="text1"/>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提升医疗健康服务能力。</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支持公立医院高质量发展，建强重点临床专科和重点学科，提升市级三甲医院区域医疗服务能力。加快县级医院和县域医疗次中心建设，实现一般疾病县域内诊疗。推进镇村医疗机构标准化建设，强化医疗卫生服务覆盖与家庭医生签约服务，打通医疗卫生服务“最后一公里”，构建全域均衡可及的服务体系。推动中医药传承创新，充分发挥中医药在医疗、康复、护理服务领域和健康服务业中的优势，提高中医临床疗效和综合服务能力，高质量建设国家中医药传承创新发展试验区。实施疾控体系现代化建设工程，构建智慧化多点触发监测预警体系，筑牢全方位公共卫生防护网。</w:t>
      </w:r>
    </w:p>
    <w:p w14:paraId="129B6A38">
      <w:pPr>
        <w:overflowPunct w:val="0"/>
        <w:topLinePunct/>
        <w:adjustRightInd w:val="0"/>
        <w:snapToGrid w:val="0"/>
        <w:spacing w:line="560" w:lineRule="exact"/>
        <w:ind w:firstLine="643" w:firstLineChars="200"/>
        <w:rPr>
          <w:color w:val="000000" w:themeColor="text1"/>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深化医疗卫生体制改革。</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强化基本医疗卫生事业公益属性，以公立医疗机构为主导、非公立医疗机构为补充，扩大医疗服务资源供给，稳定二级医院运行，控制三级医院规模，发展远程医疗，促进优质医疗资源扩容和均衡布局。推进紧密型县域医共体和城市医疗集团建设，加快构建整合型医疗卫生服务体系。推动公立医院薪酬与编制备案制改革，落实医疗服务价格动态调整政策，完善公立医院补偿和运行机制。健全医疗、医保、医药协同发展和治理机制，推进医保支付制度改革，完善医保支付方式，引导医疗机构、医药企业遵循并支持集中带量采购机制。推进全民健康数智化建设，拓展互联网诊疗覆盖面。</w:t>
      </w:r>
    </w:p>
    <w:p w14:paraId="11500506">
      <w:pPr>
        <w:pStyle w:val="26"/>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推进全体居民健康生活。</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落实健康优先发展战略，完善健康促进政策，持续开展健康安康行动，巩固提升健康城市建设成果。发展慢性病防治康管全链条服务，加强慢性病管理和重点传染病专病专防，推进重点疾病防治行动落地见效，实现慢性病综合防治示范区全覆盖，人均期望寿命稳步提升。大力发展医育、医养结合服务，深化医养机构服务有效衔接，推进中医药医养结合服务，不断满足老年人健康和养老服务需求。注重全民心理健康建设，完善社会心理服务体系和危机干预机制，提升精神卫生服务能力。深入开展爱国卫生运动和全民健身活动。</w:t>
      </w:r>
    </w:p>
    <w:p w14:paraId="69ACEB45">
      <w:pPr>
        <w:pStyle w:val="6"/>
        <w:overflowPunct w:val="0"/>
        <w:topLinePunct/>
        <w:spacing w:before="312" w:beforeLines="100" w:after="312" w:afterLines="100"/>
        <w:rPr>
          <w:color w:val="000000" w:themeColor="text1"/>
          <w14:textFill>
            <w14:solidFill>
              <w14:schemeClr w14:val="tx1"/>
            </w14:solidFill>
          </w14:textFill>
        </w:rPr>
      </w:pPr>
      <w:bookmarkStart w:id="85" w:name="_Toc18480"/>
      <w:bookmarkStart w:id="86" w:name="_Toc12070"/>
      <w:bookmarkStart w:id="87" w:name="_Toc10688"/>
      <w:bookmarkStart w:id="88" w:name="_Toc13873"/>
      <w:r>
        <w:rPr>
          <w:rFonts w:hint="eastAsia"/>
          <w:color w:val="000000" w:themeColor="text1"/>
          <w14:textFill>
            <w14:solidFill>
              <w14:schemeClr w14:val="tx1"/>
            </w14:solidFill>
          </w14:textFill>
        </w:rPr>
        <w:t>第六章 促进人口高质量发展</w:t>
      </w:r>
      <w:bookmarkEnd w:id="85"/>
    </w:p>
    <w:bookmarkEnd w:id="86"/>
    <w:bookmarkEnd w:id="87"/>
    <w:bookmarkEnd w:id="88"/>
    <w:p w14:paraId="61F14C2E">
      <w:pPr>
        <w:pStyle w:val="17"/>
        <w:overflowPunct w:val="0"/>
        <w:topLinePunct/>
        <w:spacing w:after="0"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建设生育友好型社会。</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落实人口长期发展战略，构建覆盖全人群、全生命周期的人口服务体系。落实生育支持政策，优化调整生育医疗保障政策，推动灵活就业人员纳入生育保险覆盖范围，降低生育成本负担，提升居民生育意愿。提升妇女儿童健康服务能力，推进生育全程服务，推进医疗机构产科资源优化整合，增加儿科资源供给，深入实施早孕关爱和出生缺陷防治等计划，优化新生儿参保流程，落实新生儿“出生即参保”。加快建设儿童友好医院，深入实施健康儿童行动提升计划。健全普惠托育服务体系，优化托育服务精准供给，积极开展托育综合服务中心和公办托育服务网络建设，着力增加普惠托位供给，支持社会力量参与提供普惠、多元、优质托育服务。</w:t>
      </w:r>
    </w:p>
    <w:p w14:paraId="5A102947">
      <w:pPr>
        <w:pStyle w:val="17"/>
        <w:overflowPunct w:val="0"/>
        <w:topLinePunct/>
        <w:spacing w:after="0"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积极应对人口老龄化。</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深化养老服务改革，健全城乡养老服务网络，发展普惠型和互助性养老。增加社区居家养老和综合性养老服务供给，大力发展养老服务产业，建设综合性养老服务中心，推动社区居家养老服务全覆盖。加强养老服务人才队伍建设，与本地院校合作开设相关养老服务课程，培养专业养老服务人才。加大老龄事业投入，加快养老服务设施提档升级，推动公共设施适老化和养老机构智能化改造，构建老年人友好型社区。重视老年人体育工作，健全完善老年人体育组织，加强场地建设和经费保障，提升老年人体育健身服务水平。实施康复护理扩容提升工程，推行长期护理保险制度。落实渐进式延迟法定退休年龄政策，开发老年人力资源，加快发展银发经济。</w:t>
      </w:r>
      <w:bookmarkStart w:id="89" w:name="_Toc430"/>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支持老年医学科建设，加强老年医疗服务供给，支持提供临终关怀服务。建立健全基本殡葬服务制度，完善公益性殡葬服务设施。</w:t>
      </w:r>
    </w:p>
    <w:p w14:paraId="1B3E4B7A">
      <w:pPr>
        <w:pStyle w:val="17"/>
        <w:overflowPunct w:val="0"/>
        <w:topLinePunct/>
        <w:spacing w:after="0" w:line="420" w:lineRule="exact"/>
        <w:rPr>
          <w:rFonts w:ascii="仿宋_GB2312" w:hAnsi="方正仿宋_GB2312" w:eastAsia="仿宋_GB2312" w:cs="方正仿宋_GB2312"/>
          <w:snapToGrid w:val="0"/>
          <w:color w:val="000000" w:themeColor="text1"/>
          <w:kern w:val="0"/>
          <w:sz w:val="32"/>
          <w:szCs w:val="32"/>
          <w14:textFill>
            <w14:solidFill>
              <w14:schemeClr w14:val="tx1"/>
            </w14:solidFill>
          </w14:textFill>
        </w:rPr>
      </w:pPr>
    </w:p>
    <w:bookmarkEnd w:id="89"/>
    <w:tbl>
      <w:tblPr>
        <w:tblStyle w:val="3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14:paraId="19983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00" w:type="pct"/>
            <w:tcBorders>
              <w:bottom w:val="single" w:color="000000" w:sz="4" w:space="0"/>
            </w:tcBorders>
          </w:tcPr>
          <w:p w14:paraId="592A80FE">
            <w:pPr>
              <w:overflowPunct w:val="0"/>
              <w:topLinePunct/>
              <w:spacing w:line="420" w:lineRule="exact"/>
              <w:jc w:val="center"/>
              <w:rPr>
                <w:rFonts w:ascii="Times New Roman" w:hAnsi="Times New Roman" w:eastAsia="黑体" w:cs="Times New Roman"/>
                <w:b/>
                <w:color w:val="000000" w:themeColor="text1"/>
                <w:sz w:val="32"/>
                <w:szCs w:val="32"/>
                <w14:textFill>
                  <w14:solidFill>
                    <w14:schemeClr w14:val="tx1"/>
                  </w14:solidFill>
                </w14:textFill>
              </w:rPr>
            </w:pPr>
            <w:r>
              <w:rPr>
                <w:rFonts w:hint="eastAsia" w:ascii="黑体" w:hAnsi="黑体" w:eastAsia="黑体" w:cs="黑体"/>
                <w:bCs/>
                <w:color w:val="000000" w:themeColor="text1"/>
                <w:sz w:val="28"/>
                <w:szCs w:val="28"/>
                <w14:textFill>
                  <w14:solidFill>
                    <w14:schemeClr w14:val="tx1"/>
                  </w14:solidFill>
                </w14:textFill>
              </w:rPr>
              <w:t>专栏16  民生服务提质增效工程</w:t>
            </w:r>
          </w:p>
        </w:tc>
      </w:tr>
      <w:tr w14:paraId="2BB74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tcPr>
          <w:p w14:paraId="436A9C16">
            <w:pPr>
              <w:overflowPunct w:val="0"/>
              <w:topLinePunct/>
              <w:adjustRightInd w:val="0"/>
              <w:snapToGrid w:val="0"/>
              <w:spacing w:before="156" w:beforeLines="50" w:line="42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（一）教育强市。</w:t>
            </w:r>
            <w:r>
              <w:rPr>
                <w:rFonts w:hint="eastAsia" w:ascii="宋体" w:hAnsi="宋体" w:eastAsia="宋体" w:cs="宋体"/>
                <w:snapToGrid w:val="0"/>
                <w:color w:val="000000" w:themeColor="text1"/>
                <w:kern w:val="0"/>
                <w:sz w:val="24"/>
                <w:szCs w:val="24"/>
                <w14:textFill>
                  <w14:solidFill>
                    <w14:schemeClr w14:val="tx1"/>
                  </w14:solidFill>
                </w14:textFill>
              </w:rPr>
              <w:t>普惠性幼儿园比例不低于90%，公办幼儿园在园幼儿占比不低于60%。加快推进义务教育优质均衡发展，全市国家县域义务教育优质均衡发展县评估认定占比达到80%。建设3所高品质优质特色高中，累计创建10所省级示范高中，省级示范高中比例达到34%以上。</w:t>
            </w:r>
          </w:p>
          <w:p w14:paraId="0C170BC6">
            <w:pPr>
              <w:overflowPunct w:val="0"/>
              <w:topLinePunct/>
              <w:adjustRightInd w:val="0"/>
              <w:snapToGrid w:val="0"/>
              <w:spacing w:line="42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（二）健康安康。</w:t>
            </w:r>
            <w:r>
              <w:rPr>
                <w:rFonts w:hint="eastAsia" w:ascii="宋体" w:hAnsi="宋体" w:eastAsia="宋体" w:cs="宋体"/>
                <w:snapToGrid w:val="0"/>
                <w:color w:val="000000" w:themeColor="text1"/>
                <w:kern w:val="0"/>
                <w:sz w:val="24"/>
                <w:szCs w:val="24"/>
                <w14:textFill>
                  <w14:solidFill>
                    <w14:schemeClr w14:val="tx1"/>
                  </w14:solidFill>
                </w14:textFill>
              </w:rPr>
              <w:t>推动区域医疗中心建设，建强2个省级以上区域医疗中心，建成陕南区域医疗高地。推动12个紧密型县域医共体、3个紧密型城市医共体、4个专科联盟建设提质增效，建成全市转诊会诊中心。实施10个医疗卫生强基工程，建设4个市域医疗副中心、24个县域医疗次中心，加快构建15分钟医疗卫生服务圈。</w:t>
            </w:r>
          </w:p>
          <w:p w14:paraId="15429288">
            <w:pPr>
              <w:overflowPunct w:val="0"/>
              <w:topLinePunct/>
              <w:adjustRightInd w:val="0"/>
              <w:snapToGrid w:val="0"/>
              <w:spacing w:line="42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（三）住房保障。</w:t>
            </w:r>
            <w:r>
              <w:rPr>
                <w:rFonts w:hint="eastAsia" w:ascii="宋体" w:hAnsi="宋体" w:eastAsia="宋体" w:cs="宋体"/>
                <w:snapToGrid w:val="0"/>
                <w:color w:val="000000" w:themeColor="text1"/>
                <w:kern w:val="0"/>
                <w:sz w:val="24"/>
                <w:szCs w:val="24"/>
                <w14:textFill>
                  <w14:solidFill>
                    <w14:schemeClr w14:val="tx1"/>
                  </w14:solidFill>
                </w14:textFill>
              </w:rPr>
              <w:t>加快构建公租房、保障性租赁住房、配售型保障性住房并重的住房保障体系，到2030年，保障性住房计划筹集1000套。</w:t>
            </w:r>
          </w:p>
          <w:p w14:paraId="6510B170">
            <w:pPr>
              <w:overflowPunct w:val="0"/>
              <w:topLinePunct/>
              <w:adjustRightInd w:val="0"/>
              <w:snapToGrid w:val="0"/>
              <w:spacing w:line="42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（四）文化繁荣。</w:t>
            </w:r>
            <w:r>
              <w:rPr>
                <w:rFonts w:hint="eastAsia" w:ascii="宋体" w:hAnsi="宋体" w:eastAsia="宋体" w:cs="宋体"/>
                <w:snapToGrid w:val="0"/>
                <w:color w:val="000000" w:themeColor="text1"/>
                <w:kern w:val="0"/>
                <w:sz w:val="24"/>
                <w:szCs w:val="24"/>
                <w14:textFill>
                  <w14:solidFill>
                    <w14:schemeClr w14:val="tx1"/>
                  </w14:solidFill>
                </w14:textFill>
              </w:rPr>
              <w:t>推进县级“三馆”100%达标、镇村文化阵地全覆盖，新增公共文化阅读空间100个。到2030年，文化产业增加值占GDP比重提升至5%以上。</w:t>
            </w:r>
          </w:p>
          <w:p w14:paraId="268C9E75">
            <w:pPr>
              <w:overflowPunct w:val="0"/>
              <w:topLinePunct/>
              <w:adjustRightInd w:val="0"/>
              <w:snapToGrid w:val="0"/>
              <w:spacing w:after="156" w:afterLines="50" w:line="420" w:lineRule="exact"/>
              <w:ind w:firstLine="480" w:firstLineChars="200"/>
              <w:rPr>
                <w:rFonts w:ascii="宋体" w:hAnsi="宋体" w:eastAsia="宋体" w:cs="宋体"/>
                <w:snapToGrid w:val="0"/>
                <w:color w:val="000000" w:themeColor="text1"/>
                <w:kern w:val="0"/>
                <w:sz w:val="24"/>
                <w:szCs w:val="24"/>
                <w14:textFill>
                  <w14:solidFill>
                    <w14:schemeClr w14:val="tx1"/>
                  </w14:solidFill>
                </w14:textFill>
              </w:rPr>
            </w:pPr>
            <w:r>
              <w:rPr>
                <w:rFonts w:hint="eastAsia" w:ascii="楷体_GB2312" w:hAnsi="楷体_GB2312" w:eastAsia="楷体_GB2312" w:cs="楷体_GB2312"/>
                <w:snapToGrid w:val="0"/>
                <w:color w:val="000000" w:themeColor="text1"/>
                <w:kern w:val="0"/>
                <w:sz w:val="24"/>
                <w:szCs w:val="24"/>
                <w14:textFill>
                  <w14:solidFill>
                    <w14:schemeClr w14:val="tx1"/>
                  </w14:solidFill>
                </w14:textFill>
              </w:rPr>
              <w:t>（五）养老服务。</w:t>
            </w:r>
            <w:r>
              <w:rPr>
                <w:rFonts w:hint="eastAsia" w:ascii="宋体" w:hAnsi="宋体" w:eastAsia="宋体" w:cs="宋体"/>
                <w:snapToGrid w:val="0"/>
                <w:color w:val="000000" w:themeColor="text1"/>
                <w:kern w:val="0"/>
                <w:sz w:val="24"/>
                <w:szCs w:val="24"/>
                <w14:textFill>
                  <w14:solidFill>
                    <w14:schemeClr w14:val="tx1"/>
                  </w14:solidFill>
                </w14:textFill>
              </w:rPr>
              <w:t>布局建设一批区域养老服务中心。到2030年，建成镇（街道）区域养老服务中心100个、养老服务站点450个。</w:t>
            </w:r>
          </w:p>
        </w:tc>
      </w:tr>
      <w:bookmarkEnd w:id="75"/>
    </w:tbl>
    <w:p w14:paraId="19F49D39">
      <w:pPr>
        <w:pStyle w:val="5"/>
        <w:overflowPunct w:val="0"/>
        <w:topLinePunct/>
        <w:spacing w:before="312" w:after="312" w:line="574"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90" w:name="_Toc1723"/>
    </w:p>
    <w:p w14:paraId="32743789">
      <w:pPr>
        <w:pStyle w:val="5"/>
        <w:overflowPunct w:val="0"/>
        <w:topLinePunct/>
        <w:spacing w:before="312" w:after="0" w:afterLines="0" w:line="574"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第十篇 牢牢守住安全发展底线，建设更高水平平安安康</w:t>
      </w:r>
      <w:bookmarkEnd w:id="90"/>
    </w:p>
    <w:p w14:paraId="4D54A674">
      <w:pPr>
        <w:overflowPunct w:val="0"/>
        <w:spacing w:line="574"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14:paraId="2C0AF169">
      <w:pPr>
        <w:overflowPunct w:val="0"/>
        <w:spacing w:line="574" w:lineRule="exact"/>
        <w:ind w:firstLine="640"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坚定不移贯彻总体国家安全观，加快构建大安全大应急工作格局，健全现代化社会治理体系，全力维护政治安全、社会安定、人民安宁。</w:t>
      </w:r>
    </w:p>
    <w:p w14:paraId="59F8E826">
      <w:pPr>
        <w:pStyle w:val="6"/>
        <w:overflowPunct w:val="0"/>
        <w:topLinePunct/>
        <w:spacing w:before="624" w:beforeLines="200" w:after="312" w:afterLines="100" w:line="840" w:lineRule="exact"/>
        <w:rPr>
          <w:color w:val="000000" w:themeColor="text1"/>
          <w14:textFill>
            <w14:solidFill>
              <w14:schemeClr w14:val="tx1"/>
            </w14:solidFill>
          </w14:textFill>
        </w:rPr>
      </w:pPr>
      <w:bookmarkStart w:id="91" w:name="_Toc22637"/>
      <w:bookmarkStart w:id="92" w:name="_Toc28707"/>
      <w:r>
        <w:rPr>
          <w:rFonts w:hint="eastAsia"/>
          <w:color w:val="000000" w:themeColor="text1"/>
          <w14:textFill>
            <w14:solidFill>
              <w14:schemeClr w14:val="tx1"/>
            </w14:solidFill>
          </w14:textFill>
        </w:rPr>
        <w:t xml:space="preserve">第一章 </w:t>
      </w:r>
      <w:bookmarkEnd w:id="91"/>
      <w:r>
        <w:rPr>
          <w:rFonts w:hint="eastAsia"/>
          <w:color w:val="000000" w:themeColor="text1"/>
          <w14:textFill>
            <w14:solidFill>
              <w14:schemeClr w14:val="tx1"/>
            </w14:solidFill>
          </w14:textFill>
        </w:rPr>
        <w:t>坚决维护国家安全</w:t>
      </w:r>
      <w:bookmarkEnd w:id="92"/>
    </w:p>
    <w:p w14:paraId="133BDCD8">
      <w:pPr>
        <w:pStyle w:val="26"/>
        <w:spacing w:line="570" w:lineRule="exact"/>
        <w:ind w:firstLine="643" w:firstLineChars="200"/>
        <w:rPr>
          <w:rFonts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健全国家安全维护机制。</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推进国家安全法治建设，为维护国家安全提供坚实法治保障。</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加强国家安全能力建设，提升维护国家安全的专业化水平，加大对国家安全领域的技术投入，运用先进科技手段提升监测、预警、防范和处置能力。严格落实国家安全责任制，健全国家安全审查监管、危机管控与检查考核机制，完善风险监测预警体系。加强国家安全队伍的专业化建设，培养一批政治素质高、业务能力强的国家安全专业人才，为维护国家安全提供有力的人才支撑。</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加强国家安全人民防线建设，广泛动员社会力量参与国家安全工作。深化国家安全宣传教育，增强全民国家安全意识和素养，筑牢国家安全人民防线。</w:t>
      </w:r>
    </w:p>
    <w:p w14:paraId="7F2107E1">
      <w:pPr>
        <w:overflowPunct w:val="0"/>
        <w:topLinePunct/>
        <w:adjustRightInd w:val="0"/>
        <w:snapToGrid w:val="0"/>
        <w:spacing w:line="57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坚决捍卫国家政治安全。</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深入开展反邪教、反分裂、反恐怖、反间谍系列斗争，严密防范和严厉打击敌对势力渗透、破坏、颠覆、分裂活动，加强在安境外非营利组织监管。健全意识形态“六制一体化”责任制度体系，强化阵地建设与管理，提升依法管网治网能力。坚决维护政权安全和制度安全，严密防范各类风险挑战向政治安全领域传导汇聚。加强国家政治安全领域情报信息收集研判，及时掌握影响政治安全的苗头性、倾向性问题，做到早发现、早预警、早处置。加强政治安全宣传教育，提高全民政治敏锐性和政治鉴别力，自觉维护国家政治安全。</w:t>
      </w:r>
    </w:p>
    <w:p w14:paraId="3AE813D7">
      <w:pPr>
        <w:overflowPunct w:val="0"/>
        <w:topLinePunct/>
        <w:adjustRightInd w:val="0"/>
        <w:snapToGrid w:val="0"/>
        <w:spacing w:line="560" w:lineRule="exact"/>
        <w:ind w:firstLine="640"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p>
    <w:p w14:paraId="60359597">
      <w:pPr>
        <w:pStyle w:val="6"/>
        <w:overflowPunct w:val="0"/>
        <w:topLinePunct/>
        <w:spacing w:before="312" w:beforeLines="100" w:after="312" w:afterLines="100" w:line="840" w:lineRule="exact"/>
        <w:rPr>
          <w:color w:val="000000" w:themeColor="text1"/>
          <w14:textFill>
            <w14:solidFill>
              <w14:schemeClr w14:val="tx1"/>
            </w14:solidFill>
          </w14:textFill>
        </w:rPr>
      </w:pPr>
      <w:bookmarkStart w:id="93" w:name="_Toc23895"/>
      <w:bookmarkStart w:id="94" w:name="_Toc25155"/>
      <w:r>
        <w:rPr>
          <w:rFonts w:hint="eastAsia"/>
          <w:color w:val="000000" w:themeColor="text1"/>
          <w14:textFill>
            <w14:solidFill>
              <w14:schemeClr w14:val="tx1"/>
            </w14:solidFill>
          </w14:textFill>
        </w:rPr>
        <w:t xml:space="preserve">第二章 </w:t>
      </w:r>
      <w:bookmarkEnd w:id="93"/>
      <w:r>
        <w:rPr>
          <w:rFonts w:hint="eastAsia"/>
          <w:color w:val="000000" w:themeColor="text1"/>
          <w14:textFill>
            <w14:solidFill>
              <w14:schemeClr w14:val="tx1"/>
            </w14:solidFill>
          </w14:textFill>
        </w:rPr>
        <w:t>有力防范化解重点领域风险</w:t>
      </w:r>
      <w:bookmarkEnd w:id="94"/>
    </w:p>
    <w:p w14:paraId="779C7769">
      <w:pPr>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防范化解社会领域风险。</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严格落实维护社会稳定责任制，深化重大决策社会稳定风险评估，加强突出涉稳风险核查处置。健全矛盾纠纷多元预防化解和“五情”信息联动处置工作机制，推动矛盾纠纷源头预防、前端化解。强化重点人群服务管理，精准落实教育、帮扶、管控措施，推进综治中心规范化建设，优化网格管理服务，加强矛盾纠纷化解与社会治安整体防控，强化重点区域、重点行业服务管理。加强公共安全宣传教育，增强公众的安全意识与自救能力。完善社会心理服务体系及疏导、危机干预机制，培育自尊自信、理性平和、积极向上的社会心态，从源头上预防和减少矛盾问题。</w:t>
      </w:r>
    </w:p>
    <w:p w14:paraId="7139733D">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突出抓好经济安全。</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强化经济运行风险监测预警化解，完善风险防范和应对机制，做好重点领域风险防控，增强实体经济抵御风险能力。加强地方债务监管和隐性债务风险化解，坚决遏制新增隐性债务，有序化解存量隐性债务，确保债务风险可控可防。加强各类融资平台监管，严厉打击非法金融活动，加强民间借贷、网贷风险防范。着力稳定房地产市场，综合施策控增量、去库存、优供给，有序推动“好房子”建设，加强市场和资金监管，加快构建房地产发展新模式。加强粮油、能源等重要民生商品的安全保障，建立健全储备调节机制，确保市场供应充足、价格稳定，有效应对各类突发事件对经济安全的冲击。</w:t>
      </w:r>
    </w:p>
    <w:p w14:paraId="170940BC">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强化新兴领域监管。</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加强新兴领域安全技术应用，提升安全防护能力和水平，有效应对新兴领域安全风险挑战。深化网络空间安全综合治理，完善网络安全防护体系，加强个人信息保护和网络安全保障，确保重要数据和公民个人信息安全。加大对网络犯罪的打击力度，依法惩治网络诈骗、网络谣言、网络暴力等违法犯罪行为。完善网络、数据、人工智能、生物、低空等新兴领域安全监管机制，构建全方位、多层次的监管体系，确保新兴领域安全有序发展。加强网络安全宣传教育，增强全民网络安全意识，提升防护技能。</w:t>
      </w:r>
    </w:p>
    <w:p w14:paraId="2AAD1BC9">
      <w:pPr>
        <w:pStyle w:val="6"/>
        <w:overflowPunct w:val="0"/>
        <w:topLinePunct/>
        <w:spacing w:before="312" w:beforeLines="100" w:after="312" w:afterLines="100"/>
        <w:rPr>
          <w:color w:val="000000" w:themeColor="text1"/>
          <w14:textFill>
            <w14:solidFill>
              <w14:schemeClr w14:val="tx1"/>
            </w14:solidFill>
          </w14:textFill>
        </w:rPr>
      </w:pPr>
      <w:bookmarkStart w:id="95" w:name="_Toc26768"/>
      <w:r>
        <w:rPr>
          <w:rFonts w:hint="eastAsia"/>
          <w:color w:val="000000" w:themeColor="text1"/>
          <w14:textFill>
            <w14:solidFill>
              <w14:schemeClr w14:val="tx1"/>
            </w14:solidFill>
          </w14:textFill>
        </w:rPr>
        <w:t>第三章 切实保障公共安全</w:t>
      </w:r>
      <w:bookmarkEnd w:id="95"/>
    </w:p>
    <w:p w14:paraId="430E7AC8">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完善公共安全管理体系。</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树立人民至上、生命至上的发展理念，推动公共安全治理向事前预防转型，提升重大突发公共事件处置保障能力。深入实施“三化三制”提升工程，完善安全生产隐患排查整治与责任倒查机制，统筹强化人防、物防、技防建设，坚决防范和遏制重特大事故发生。依法严厉打击各类违法犯罪活动，常态化开展扫黑除恶斗争，深入排查整治社会治安重点地区和突出问题，切实维护社会治安秩序。</w:t>
      </w:r>
    </w:p>
    <w:p w14:paraId="3F42643C">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加强食品药品安全监管。</w:t>
      </w:r>
      <w:r>
        <w:rPr>
          <w:rFonts w:hint="eastAsia" w:ascii="仿宋_GB2312" w:hAnsi="仿宋_GB2312" w:eastAsia="仿宋_GB2312" w:cs="仿宋_GB2312"/>
          <w:color w:val="000000" w:themeColor="text1"/>
          <w:sz w:val="32"/>
          <w:szCs w:val="32"/>
          <w14:textFill>
            <w14:solidFill>
              <w14:schemeClr w14:val="tx1"/>
            </w14:solidFill>
          </w14:textFill>
        </w:rPr>
        <w:t>压实各部门协同责任，强化产地准出与市场准入衔接，严格生产经营过程控制，完善重点领域监管。强化智慧监管手段，健全风险防控机制，实施靶向抽检与不合格产品闭环处置，严厉打击违法行为。</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建设一支政治责任心强、综合素质高的食品药品监管干部队伍。加大对食品药品质检实验室、农产品检测站等设施设备建设的投入力度，提高检测水平，筑牢群众食品药品安全防线。通过更具操作性的制度和更严厉的惩处，使违法成本大幅度提高。</w:t>
      </w:r>
      <w:r>
        <w:rPr>
          <w:rFonts w:hint="eastAsia" w:ascii="仿宋_GB2312" w:hAnsi="仿宋_GB2312" w:eastAsia="仿宋_GB2312" w:cs="仿宋_GB2312"/>
          <w:color w:val="000000" w:themeColor="text1"/>
          <w:sz w:val="32"/>
          <w:szCs w:val="32"/>
          <w14:textFill>
            <w14:solidFill>
              <w14:schemeClr w14:val="tx1"/>
            </w14:solidFill>
          </w14:textFill>
        </w:rPr>
        <w:t>推动社会共治，加强宣传教育与数字化追溯应用，提升专业化监管能力，保障公众饮食用药安全</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w:t>
      </w:r>
    </w:p>
    <w:p w14:paraId="14011824">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提高公共卫生服务能力。</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提升疫情监测预警与应急处置效能，健全传染病疫情和突发公共卫生事件监测系统。推进疾控系统、医院及基层卫生机构公共卫生科室标准化建设，明确功能定位与权责清单。强化基层医疗卫生机构公共卫生服务职能，增强基层防病治病和健康管理能力。加强公共卫生人才队伍建设，提高专业技术人员占比与业务水平。加强健康教育与健康促进，普及健康知识，不断提升居民健康素养。</w:t>
      </w:r>
    </w:p>
    <w:p w14:paraId="5D2D4E73">
      <w:pPr>
        <w:pStyle w:val="6"/>
        <w:overflowPunct w:val="0"/>
        <w:topLinePunct/>
        <w:spacing w:before="312" w:beforeLines="100" w:after="312" w:afterLines="100"/>
        <w:rPr>
          <w:color w:val="000000" w:themeColor="text1"/>
          <w14:textFill>
            <w14:solidFill>
              <w14:schemeClr w14:val="tx1"/>
            </w14:solidFill>
          </w14:textFill>
        </w:rPr>
      </w:pPr>
      <w:bookmarkStart w:id="96" w:name="_Toc12116"/>
      <w:bookmarkStart w:id="97" w:name="_Toc18575"/>
      <w:r>
        <w:rPr>
          <w:rFonts w:hint="eastAsia"/>
          <w:color w:val="000000" w:themeColor="text1"/>
          <w14:textFill>
            <w14:solidFill>
              <w14:schemeClr w14:val="tx1"/>
            </w14:solidFill>
          </w14:textFill>
        </w:rPr>
        <w:t xml:space="preserve">第四章 </w:t>
      </w:r>
      <w:bookmarkEnd w:id="96"/>
      <w:r>
        <w:rPr>
          <w:rFonts w:hint="eastAsia"/>
          <w:color w:val="000000" w:themeColor="text1"/>
          <w14:textFill>
            <w14:solidFill>
              <w14:schemeClr w14:val="tx1"/>
            </w14:solidFill>
          </w14:textFill>
        </w:rPr>
        <w:t>全面加强社会治理</w:t>
      </w:r>
      <w:bookmarkEnd w:id="97"/>
    </w:p>
    <w:p w14:paraId="5D79E385">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夯实基层治理根基。</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坚持系统治理、依法治理、综合治理、源头治理，完善共建共治共享的社会治理制度。加强党建引领基层治理和基层政权建设，全面落实镇（街道）履职事项清单，健全村（社区）工作事项准入制度，深入实施村（社区）治理能力提升行动。构建“大数据+网格化”治理体系，深化“321”基层治理模式，发挥党建引领12345热线接诉即办工作机制作用，有效推动矛盾纠纷多元预防化解。充分发挥数据在社会治理中的支撑作用，精准识别社会治理热点、难点问题，科学赋能基层治理。健全社区志愿服务机制，营造互帮互助、和谐共处的社区氛围。深入推进信访工作法治化常态化长效化，攻坚化解信访积案。</w:t>
      </w:r>
    </w:p>
    <w:p w14:paraId="43ABC0EF">
      <w:pPr>
        <w:pStyle w:val="26"/>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规范社会组织管理。</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加强社会组织党建工作，深化党建引领行业协会商会改革和转型。</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完善社会组织培育扶持机制，大力培育发展社区社会组织，制定针对性引导政策，鼓励深度参与社区治理，激发社区内在活力。强化社区治理创新，积极推进智慧社区建设，借助现代信息技术手段，为居民打造便捷高效的服务环境。加强社会组织自身建设，建立内部纠纷解决机制，依法依规妥善解决内部矛盾纠纷。加大社会组织监管力度，健全社会组织信用体系，规范社会组织行为，提升社会组织公信力。</w:t>
      </w:r>
    </w:p>
    <w:p w14:paraId="7FEE6751">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加强社会工作者队伍建设。</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加强社会工作者职业资格认证管理与继续教育，推动社会工作者与志愿者协同服务，形成优势互补、联动服务的良好格局。深化网格化管理服务，科学划分网格单元，合理配置网格力量，明确网格员职责，实现网格管理服务全覆盖。加强平台建设，促进信息共享与协同联动，推动网格化管理服务向精细化、智能化方向发展，提升基层治理效能。强化网格员培训与管理，提升其业务能力与服务水平，打造一支素质高、能力强、作风硬的网格员队伍。健全新时代志愿服务制度体系，完善管理机制，提升服务规范化、专业化水平。</w:t>
      </w:r>
    </w:p>
    <w:p w14:paraId="367EE216">
      <w:pPr>
        <w:pStyle w:val="6"/>
        <w:overflowPunct w:val="0"/>
        <w:topLinePunct/>
        <w:spacing w:before="312" w:beforeLines="100" w:after="312" w:afterLines="100"/>
        <w:rPr>
          <w:color w:val="000000" w:themeColor="text1"/>
          <w14:textFill>
            <w14:solidFill>
              <w14:schemeClr w14:val="tx1"/>
            </w14:solidFill>
          </w14:textFill>
        </w:rPr>
      </w:pPr>
      <w:bookmarkStart w:id="98" w:name="_Toc29964"/>
      <w:r>
        <w:rPr>
          <w:rFonts w:hint="eastAsia"/>
          <w:color w:val="000000" w:themeColor="text1"/>
          <w14:textFill>
            <w14:solidFill>
              <w14:schemeClr w14:val="tx1"/>
            </w14:solidFill>
          </w14:textFill>
        </w:rPr>
        <w:t>第五章 提升应急救援和防灾减灾能力</w:t>
      </w:r>
      <w:bookmarkEnd w:id="98"/>
    </w:p>
    <w:p w14:paraId="0EB3CD07">
      <w:pPr>
        <w:overflowPunct w:val="0"/>
        <w:topLinePunct/>
        <w:adjustRightInd w:val="0"/>
        <w:snapToGrid w:val="0"/>
        <w:spacing w:line="560" w:lineRule="exact"/>
        <w:ind w:firstLine="643" w:firstLineChars="200"/>
        <w:rPr>
          <w:rFonts w:eastAsia="宋体"/>
          <w:color w:val="000000" w:themeColor="text1"/>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加强应急管理体系建设。</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构建统一指挥、专常兼备、反应灵敏、上下联动的应急管理体制。强化预案管理，常态化开展情景构建与应急演练，加快消防救援机动队伍组建和营房建设，建强应急救援力量。推动应急救援基地和消防救援基地建设，加强应急管理教育培训，提升基层应急管理能力。不断推动应急管理信息化、智能化建设，构建覆盖全面、响应迅速的应急通信网络，增强应急决策科学性与精准性，提升应急救援的效率与效果。</w:t>
      </w:r>
    </w:p>
    <w:p w14:paraId="50642A42">
      <w:pPr>
        <w:spacing w:line="560" w:lineRule="exact"/>
        <w:ind w:firstLine="643" w:firstLineChars="200"/>
        <w:rPr>
          <w:rFonts w:eastAsia="宋体"/>
          <w:color w:val="000000" w:themeColor="text1"/>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健全应急物资保障与储备体系。</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积极争取建设国家战略物资储备库及全省物资储备库，优化物资储备的品种规模与结构布局，构建通用物资与专用物资相互支撑的储备格局。落实市级救灾物资储备规划，建立健全市级救灾物资的收储、轮换、日常管理与调拨制度。实施应急物资保障能力提升工程，推动应急产业建设，搭建能够实时呈现应急物资指挥调度、物资需求信息、物流资源信息、通道及环境信息的应急物资指挥调度数据平台。推进粮食和物资储备基础设施建设，推动应急物资储备专业化与社会化有机融合，提升粮食和物资储备能力。</w:t>
      </w:r>
    </w:p>
    <w:p w14:paraId="2FB332E0">
      <w:pPr>
        <w:overflowPunct w:val="0"/>
        <w:topLinePunct/>
        <w:adjustRightInd w:val="0"/>
        <w:snapToGrid w:val="0"/>
        <w:spacing w:line="560" w:lineRule="exact"/>
        <w:ind w:firstLine="643" w:firstLineChars="200"/>
        <w:rPr>
          <w:rFonts w:ascii="仿宋_GB2312" w:hAnsi="方正仿宋_GB2312" w:eastAsia="仿宋_GB2312" w:cs="方正仿宋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snapToGrid w:val="0"/>
          <w:color w:val="000000" w:themeColor="text1"/>
          <w:kern w:val="0"/>
          <w:sz w:val="32"/>
          <w:szCs w:val="32"/>
          <w14:textFill>
            <w14:solidFill>
              <w14:schemeClr w14:val="tx1"/>
            </w14:solidFill>
          </w14:textFill>
        </w:rPr>
        <w:t>增强抵御自然灾害风险能力</w:t>
      </w:r>
      <w:r>
        <w:rPr>
          <w:rFonts w:hint="eastAsia" w:ascii="仿宋_GB2312" w:hAnsi="方正仿宋_GB2312" w:eastAsia="仿宋_GB2312" w:cs="方正仿宋_GB2312"/>
          <w:b/>
          <w:bCs/>
          <w:snapToGrid w:val="0"/>
          <w:color w:val="000000" w:themeColor="text1"/>
          <w:kern w:val="0"/>
          <w:sz w:val="32"/>
          <w:szCs w:val="32"/>
          <w14:textFill>
            <w14:solidFill>
              <w14:schemeClr w14:val="tx1"/>
            </w14:solidFill>
          </w14:textFill>
        </w:rPr>
        <w:t>。</w:t>
      </w:r>
      <w:r>
        <w:rPr>
          <w:rFonts w:hint="eastAsia" w:ascii="仿宋_GB2312" w:hAnsi="方正仿宋_GB2312" w:eastAsia="仿宋_GB2312" w:cs="方正仿宋_GB2312"/>
          <w:snapToGrid w:val="0"/>
          <w:color w:val="000000" w:themeColor="text1"/>
          <w:kern w:val="0"/>
          <w:sz w:val="32"/>
          <w:szCs w:val="32"/>
          <w14:textFill>
            <w14:solidFill>
              <w14:schemeClr w14:val="tx1"/>
            </w14:solidFill>
          </w14:textFill>
        </w:rPr>
        <w:t>健全自然灾害防治体系，优化监测预警防范机制，统筹推进避灾搬迁工作和避难场所建设，全面提升应对极端天气、地质灾害的能力以及社会公众的防灾避险能力。加强地震、地质灾害、气象灾害等监测站网建设，进一步提高监测精度、扩大覆盖范围。开展防灾避险知识宣传与应急演练活动，增强社会公众安全意识和自救能力，推动形成全社会共同参与防灾减灾的良好氛围。</w:t>
      </w:r>
    </w:p>
    <w:p w14:paraId="2C0E2AC5">
      <w:pPr>
        <w:pStyle w:val="6"/>
        <w:overflowPunct w:val="0"/>
        <w:topLinePunct/>
        <w:spacing w:before="312" w:beforeLines="100" w:after="312" w:afterLines="100" w:line="574" w:lineRule="exact"/>
        <w:rPr>
          <w:color w:val="000000" w:themeColor="text1"/>
          <w14:textFill>
            <w14:solidFill>
              <w14:schemeClr w14:val="tx1"/>
            </w14:solidFill>
          </w14:textFill>
        </w:rPr>
      </w:pPr>
      <w:bookmarkStart w:id="99" w:name="_Toc9394"/>
      <w:bookmarkStart w:id="100" w:name="_Toc30212"/>
      <w:bookmarkStart w:id="101" w:name="_Toc23192"/>
      <w:r>
        <w:rPr>
          <w:rFonts w:hint="eastAsia"/>
          <w:color w:val="000000" w:themeColor="text1"/>
          <w14:textFill>
            <w14:solidFill>
              <w14:schemeClr w14:val="tx1"/>
            </w14:solidFill>
          </w14:textFill>
        </w:rPr>
        <w:t>第六章 扎实推进法治安康建设</w:t>
      </w:r>
      <w:bookmarkEnd w:id="99"/>
      <w:bookmarkEnd w:id="100"/>
      <w:bookmarkEnd w:id="101"/>
    </w:p>
    <w:p w14:paraId="112CB84A">
      <w:pPr>
        <w:pStyle w:val="26"/>
        <w:spacing w:line="574"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推进法治政府建设。</w:t>
      </w:r>
      <w:r>
        <w:rPr>
          <w:rFonts w:hint="eastAsia" w:ascii="仿宋_GB2312" w:hAnsi="仿宋_GB2312" w:eastAsia="仿宋_GB2312" w:cs="仿宋_GB2312"/>
          <w:color w:val="000000" w:themeColor="text1"/>
          <w:sz w:val="32"/>
          <w:szCs w:val="32"/>
          <w14:textFill>
            <w14:solidFill>
              <w14:schemeClr w14:val="tx1"/>
            </w14:solidFill>
          </w14:textFill>
        </w:rPr>
        <w:t>提升依法行政决策水平，规范执行政府重大行政决策年度目录编制制度，严格履行重大行政决策法定程序。提升行政执法规范化水平，大力推进包容审慎监管等新型监管方式，提高事中事后监管的精准性、靶向性、科学性和有效性。持续完善行政裁量权基准和行政执法事项清单管理，加强动态管理，切实维护执法权威。强化教育培训，提升执法人员法治能力，坚持处罚与教育相结合，让群众感受到执法的温度。提高行政执法监督力度，常态化、多元化、规范化监督，严格规范公正文明执法。全面提升公共法律服务能力，加大农村和偏远地区法律服务人才培养引进力度，建立健全法律服务志愿者制度，强化法律服务供给。</w:t>
      </w:r>
    </w:p>
    <w:p w14:paraId="2ADF6FD0">
      <w:pPr>
        <w:pStyle w:val="26"/>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加强立法体系建设。</w:t>
      </w:r>
      <w:r>
        <w:rPr>
          <w:rFonts w:hint="eastAsia" w:ascii="仿宋_GB2312" w:hAnsi="方正仿宋_GB2312" w:eastAsia="仿宋_GB2312" w:cs="方正仿宋_GB2312"/>
          <w:color w:val="000000" w:themeColor="text1"/>
          <w:sz w:val="32"/>
          <w:szCs w:val="24"/>
          <w14:textFill>
            <w14:solidFill>
              <w14:schemeClr w14:val="tx1"/>
            </w14:solidFill>
          </w14:textFill>
        </w:rPr>
        <w:t>完善党委领导、人大主导、政府依托、各方参与的立法工作格局，坚持党对立法工作的全面领导，深入推进科学立法、民主立法、依法立法，创新和完善新时代立法体制机制。依法行使地方立法权，发挥地方立法务实灵活及特色优势，打造“小快灵”特色法规。推进重点领域立法，聚焦生态保护、民生保障、基层治理等重点领域，以高质量立法护航安康高质量发展。</w:t>
      </w:r>
    </w:p>
    <w:p w14:paraId="41AC2E00">
      <w:pPr>
        <w:pStyle w:val="26"/>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深化司法体制改革。</w:t>
      </w:r>
      <w:r>
        <w:rPr>
          <w:rFonts w:hint="eastAsia" w:ascii="仿宋_GB2312" w:hAnsi="方正仿宋_GB2312" w:eastAsia="仿宋_GB2312" w:cs="方正仿宋_GB2312"/>
          <w:color w:val="000000" w:themeColor="text1"/>
          <w:sz w:val="32"/>
          <w:szCs w:val="24"/>
          <w14:textFill>
            <w14:solidFill>
              <w14:schemeClr w14:val="tx1"/>
            </w14:solidFill>
          </w14:textFill>
        </w:rPr>
        <w:t>深化司法公开，优化平台载体，探索全流程可视化、信息化监管模式，构建开放、动态、透明、便民的阳光司法机制。落实司法救济保护制度，畅通救济渠道，健全“1+N”司法救助机制，切实保障群众合法权益。推进公共法律服务“一站式”平台提质增效，整合律师、公证、法律援助等资源，延伸基层服务触角，以司法提质增效筑牢公平正义防线、护航民生发展与社会稳定。</w:t>
      </w:r>
    </w:p>
    <w:p w14:paraId="3341C184">
      <w:pPr>
        <w:pStyle w:val="26"/>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24"/>
          <w14:textFill>
            <w14:solidFill>
              <w14:schemeClr w14:val="tx1"/>
            </w14:solidFill>
          </w14:textFill>
        </w:rPr>
        <w:t>深入推进全民守法。</w:t>
      </w:r>
      <w:r>
        <w:rPr>
          <w:rFonts w:hint="eastAsia" w:ascii="仿宋_GB2312" w:hAnsi="方正仿宋_GB2312" w:eastAsia="仿宋_GB2312" w:cs="方正仿宋_GB2312"/>
          <w:color w:val="000000" w:themeColor="text1"/>
          <w:sz w:val="32"/>
          <w:szCs w:val="24"/>
          <w14:textFill>
            <w14:solidFill>
              <w14:schemeClr w14:val="tx1"/>
            </w14:solidFill>
          </w14:textFill>
        </w:rPr>
        <w:t>深化党委领导、人大监督、政府主导、各方协同、社会参与的大普法格局</w:t>
      </w:r>
      <w:r>
        <w:rPr>
          <w:rFonts w:ascii="仿宋_GB2312" w:hAnsi="方正仿宋_GB2312" w:eastAsia="仿宋_GB2312" w:cs="方正仿宋_GB2312"/>
          <w:color w:val="000000" w:themeColor="text1"/>
          <w:sz w:val="32"/>
          <w:szCs w:val="24"/>
          <w14:textFill>
            <w14:solidFill>
              <w14:schemeClr w14:val="tx1"/>
            </w14:solidFill>
          </w14:textFill>
        </w:rPr>
        <w:t>，深入学习宣传习近平法治思想，</w:t>
      </w:r>
      <w:r>
        <w:rPr>
          <w:rFonts w:hint="eastAsia" w:ascii="仿宋_GB2312" w:hAnsi="方正仿宋_GB2312" w:eastAsia="仿宋_GB2312" w:cs="方正仿宋_GB2312"/>
          <w:color w:val="000000" w:themeColor="text1"/>
          <w:sz w:val="32"/>
          <w:szCs w:val="24"/>
          <w14:textFill>
            <w14:solidFill>
              <w14:schemeClr w14:val="tx1"/>
            </w14:solidFill>
          </w14:textFill>
        </w:rPr>
        <w:t>认真贯彻实施《法治宣传教育法》，</w:t>
      </w:r>
      <w:r>
        <w:rPr>
          <w:rFonts w:ascii="仿宋_GB2312" w:hAnsi="方正仿宋_GB2312" w:eastAsia="仿宋_GB2312" w:cs="方正仿宋_GB2312"/>
          <w:color w:val="000000" w:themeColor="text1"/>
          <w:sz w:val="32"/>
          <w:szCs w:val="24"/>
          <w14:textFill>
            <w14:solidFill>
              <w14:schemeClr w14:val="tx1"/>
            </w14:solidFill>
          </w14:textFill>
        </w:rPr>
        <w:t>加强《宪法》《民法典》等</w:t>
      </w:r>
      <w:r>
        <w:rPr>
          <w:rFonts w:hint="eastAsia" w:ascii="仿宋_GB2312" w:hAnsi="方正仿宋_GB2312" w:eastAsia="仿宋_GB2312" w:cs="方正仿宋_GB2312"/>
          <w:color w:val="000000" w:themeColor="text1"/>
          <w:sz w:val="32"/>
          <w:szCs w:val="24"/>
          <w14:textFill>
            <w14:solidFill>
              <w14:schemeClr w14:val="tx1"/>
            </w14:solidFill>
          </w14:textFill>
        </w:rPr>
        <w:t>法律法规</w:t>
      </w:r>
      <w:r>
        <w:rPr>
          <w:rFonts w:ascii="仿宋_GB2312" w:hAnsi="方正仿宋_GB2312" w:eastAsia="仿宋_GB2312" w:cs="方正仿宋_GB2312"/>
          <w:color w:val="000000" w:themeColor="text1"/>
          <w:sz w:val="32"/>
          <w:szCs w:val="24"/>
          <w14:textFill>
            <w14:solidFill>
              <w14:schemeClr w14:val="tx1"/>
            </w14:solidFill>
          </w14:textFill>
        </w:rPr>
        <w:t>宣传教育</w:t>
      </w:r>
      <w:r>
        <w:rPr>
          <w:rFonts w:hint="eastAsia" w:ascii="仿宋_GB2312" w:hAnsi="方正仿宋_GB2312" w:eastAsia="仿宋_GB2312" w:cs="方正仿宋_GB2312"/>
          <w:color w:val="000000" w:themeColor="text1"/>
          <w:sz w:val="32"/>
          <w:szCs w:val="24"/>
          <w14:textFill>
            <w14:solidFill>
              <w14:schemeClr w14:val="tx1"/>
            </w14:solidFill>
          </w14:textFill>
        </w:rPr>
        <w:t>，推动全民尊法学法守法用法。打造地域法治文化品牌，持续建设各类法治宣传实体与线上阵地，推动法治精神深入人心。深化“法律明白人”培养与使用，推动普法与依法治理相结合。加大对公德失范、诚信缺失等行为惩处力度，在全社会营造尊法学法守法用法的良好氛围。</w:t>
      </w:r>
    </w:p>
    <w:p w14:paraId="2A370925">
      <w:pPr>
        <w:pStyle w:val="5"/>
        <w:overflowPunct w:val="0"/>
        <w:topLinePunct/>
        <w:spacing w:before="312" w:after="312" w:line="574"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02" w:name="_Toc14232"/>
    </w:p>
    <w:p w14:paraId="2E9E236A">
      <w:pPr>
        <w:pStyle w:val="5"/>
        <w:overflowPunct w:val="0"/>
        <w:topLinePunct/>
        <w:spacing w:before="312" w:after="0" w:afterLines="0" w:line="574"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第十一篇 坚持和加强党的全面领导，为实现“十五五”规划提供坚强保证</w:t>
      </w:r>
      <w:bookmarkEnd w:id="102"/>
    </w:p>
    <w:bookmarkEnd w:id="50"/>
    <w:bookmarkEnd w:id="51"/>
    <w:p w14:paraId="27693948">
      <w:pPr>
        <w:overflowPunct w:val="0"/>
        <w:adjustRightInd w:val="0"/>
        <w:snapToGrid w:val="0"/>
        <w:spacing w:line="574" w:lineRule="exact"/>
        <w:ind w:firstLine="640" w:firstLineChars="200"/>
        <w:rPr>
          <w:rFonts w:ascii="仿宋_GB2312" w:hAnsi="方正仿宋_GB2312" w:eastAsia="仿宋_GB2312" w:cs="方正仿宋_GB2312"/>
          <w:color w:val="000000" w:themeColor="text1"/>
          <w:sz w:val="32"/>
          <w:szCs w:val="24"/>
          <w14:textFill>
            <w14:solidFill>
              <w14:schemeClr w14:val="tx1"/>
            </w14:solidFill>
          </w14:textFill>
        </w:rPr>
      </w:pPr>
      <w:bookmarkStart w:id="103" w:name="OLE_LINK1"/>
    </w:p>
    <w:p w14:paraId="1350B15F">
      <w:pPr>
        <w:overflowPunct w:val="0"/>
        <w:adjustRightInd w:val="0"/>
        <w:snapToGrid w:val="0"/>
        <w:spacing w:line="574" w:lineRule="exact"/>
        <w:ind w:firstLine="640" w:firstLineChars="200"/>
        <w:rPr>
          <w:rFonts w:ascii="仿宋_GB2312" w:hAnsi="仿宋_GB2312" w:eastAsia="仿宋_GB2312" w:cs="Times New Roman"/>
          <w:color w:val="000000" w:themeColor="text1"/>
          <w:sz w:val="32"/>
          <w:szCs w:val="32"/>
          <w14:textFill>
            <w14:solidFill>
              <w14:schemeClr w14:val="tx1"/>
            </w14:solidFill>
          </w14:textFill>
        </w:rPr>
      </w:pPr>
      <w:r>
        <w:rPr>
          <w:rFonts w:hint="eastAsia" w:ascii="仿宋_GB2312" w:hAnsi="方正仿宋_GB2312" w:eastAsia="仿宋_GB2312" w:cs="方正仿宋_GB2312"/>
          <w:color w:val="000000" w:themeColor="text1"/>
          <w:sz w:val="32"/>
          <w:szCs w:val="24"/>
          <w14:textFill>
            <w14:solidFill>
              <w14:schemeClr w14:val="tx1"/>
            </w14:solidFill>
          </w14:textFill>
        </w:rPr>
        <w:t>本规划《纲要》阐明了未来五年全市经济社会发展的宏伟蓝图，具有战略性、宏观性、政策性，是其他各级各类规划编制的总遵循。</w:t>
      </w:r>
      <w:r>
        <w:rPr>
          <w:rFonts w:hint="eastAsia" w:ascii="仿宋_GB2312" w:hAnsi="仿宋_GB2312" w:eastAsia="仿宋_GB2312" w:cs="Times New Roman"/>
          <w:color w:val="000000" w:themeColor="text1"/>
          <w:sz w:val="32"/>
          <w:szCs w:val="32"/>
          <w14:textFill>
            <w14:solidFill>
              <w14:schemeClr w14:val="tx1"/>
            </w14:solidFill>
          </w14:textFill>
        </w:rPr>
        <w:t>经市五届人大七次会议审议批准后，具有法律效力。要切实加强组织实施，健全以发展规划为统领的政策协调和工作协同机制，确保如期完成规划确定的各项目标任务。</w:t>
      </w:r>
      <w:bookmarkEnd w:id="103"/>
    </w:p>
    <w:p w14:paraId="56C3D426">
      <w:pPr>
        <w:pStyle w:val="6"/>
        <w:overflowPunct w:val="0"/>
        <w:topLinePunct/>
        <w:spacing w:before="312" w:beforeLines="100" w:after="312" w:afterLines="100" w:line="574" w:lineRule="exact"/>
        <w:rPr>
          <w:color w:val="000000" w:themeColor="text1"/>
          <w14:textFill>
            <w14:solidFill>
              <w14:schemeClr w14:val="tx1"/>
            </w14:solidFill>
          </w14:textFill>
        </w:rPr>
      </w:pPr>
      <w:bookmarkStart w:id="104" w:name="_Toc19357"/>
      <w:r>
        <w:rPr>
          <w:rFonts w:hint="eastAsia"/>
          <w:color w:val="000000" w:themeColor="text1"/>
          <w14:textFill>
            <w14:solidFill>
              <w14:schemeClr w14:val="tx1"/>
            </w14:solidFill>
          </w14:textFill>
        </w:rPr>
        <w:t>第一章 坚持和加强党的全面领导</w:t>
      </w:r>
      <w:bookmarkEnd w:id="104"/>
    </w:p>
    <w:p w14:paraId="2A9221F3">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坚决维护党中央权威和集中统一领导。</w:t>
      </w:r>
      <w:r>
        <w:rPr>
          <w:rFonts w:hint="eastAsia" w:ascii="仿宋_GB2312" w:hAnsi="方正仿宋_GB2312" w:eastAsia="仿宋_GB2312" w:cs="方正仿宋_GB2312"/>
          <w:color w:val="000000" w:themeColor="text1"/>
          <w:sz w:val="32"/>
          <w:szCs w:val="24"/>
          <w14:textFill>
            <w14:solidFill>
              <w14:schemeClr w14:val="tx1"/>
            </w14:solidFill>
          </w14:textFill>
        </w:rPr>
        <w:t>坚持用习近平新时代中国特色社会主义思想凝心铸魂，完善以学铸魂、以学增智、以学正风、以学促干长效机制，持续用党的创新理论统一思想、统一意志、统一行动，始终同以习近平同志为核心的党中央保持高度一致。健全习近平总书记重要指示批示和党中央决策部署闭环落实机制，确保上下贯通、执行有力。完善党委领导经济社会发展的工作机制，更好发挥把方向、管大局、作决策、保落实作用。统筹推进各领域基层党组织提质创优，坚持实干实绩选人用人导向，</w:t>
      </w:r>
      <w:r>
        <w:rPr>
          <w:rFonts w:hint="eastAsia" w:ascii="仿宋_GB2312" w:hAnsi="仿宋_GB2312" w:eastAsia="仿宋_GB2312" w:cs="仿宋_GB2312"/>
          <w:color w:val="000000" w:themeColor="text1"/>
          <w:sz w:val="32"/>
          <w:szCs w:val="32"/>
          <w14:textFill>
            <w14:solidFill>
              <w14:schemeClr w14:val="tx1"/>
            </w14:solidFill>
          </w14:textFill>
        </w:rPr>
        <w:t>推进作风建设常态化长效化，深化拓展整治形式主义为基层减负，全域深化清廉安康建设，</w:t>
      </w:r>
      <w:r>
        <w:rPr>
          <w:rFonts w:hint="eastAsia" w:ascii="仿宋_GB2312" w:hAnsi="方正仿宋_GB2312" w:eastAsia="仿宋_GB2312" w:cs="方正仿宋_GB2312"/>
          <w:color w:val="000000" w:themeColor="text1"/>
          <w:sz w:val="32"/>
          <w:szCs w:val="24"/>
          <w14:textFill>
            <w14:solidFill>
              <w14:schemeClr w14:val="tx1"/>
            </w14:solidFill>
          </w14:textFill>
        </w:rPr>
        <w:t>将党的集中统一领导贯穿到经济社会发展全过程、“十五五”规划实施各方面。</w:t>
      </w:r>
    </w:p>
    <w:p w14:paraId="5FC359BF">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广泛凝聚社会各界智慧力量。</w:t>
      </w:r>
      <w:r>
        <w:rPr>
          <w:rFonts w:hint="eastAsia" w:ascii="仿宋_GB2312" w:hAnsi="仿宋_GB2312" w:eastAsia="仿宋_GB2312" w:cs="仿宋_GB2312"/>
          <w:color w:val="000000" w:themeColor="text1"/>
          <w:sz w:val="32"/>
          <w:szCs w:val="32"/>
          <w14:textFill>
            <w14:solidFill>
              <w14:schemeClr w14:val="tx1"/>
            </w14:solidFill>
          </w14:textFill>
        </w:rPr>
        <w:t>坚持党的领导、人民当家作主、依法治国有机统一，发展全过程人民民主。</w:t>
      </w:r>
      <w:r>
        <w:rPr>
          <w:rFonts w:hint="eastAsia" w:ascii="仿宋_GB2312" w:hAnsi="方正仿宋_GB2312" w:eastAsia="仿宋_GB2312" w:cs="方正仿宋_GB2312"/>
          <w:color w:val="000000" w:themeColor="text1"/>
          <w:sz w:val="32"/>
          <w:szCs w:val="24"/>
          <w14:textFill>
            <w14:solidFill>
              <w14:schemeClr w14:val="tx1"/>
            </w14:solidFill>
          </w14:textFill>
        </w:rPr>
        <w:t>支持人大及其常委会依法行使职权，完善人大监督制度，拓展人大代表作用发挥渠道。加强人民政协专门协商机构建设，完善“安协商·议安康”工作体系，提高建言资政和凝聚共识水平。巩固和发展最广泛的爱国统一战线，全面贯彻党的民族、宗教、侨务、对台等政策，支持党外知识分子和新的社会阶层人士建功立业，加强党外代表人士队伍建设。健全吸纳民意、汇集民智工作机制，提高基层群众自治能力。充分发挥工会、共青团、妇联、工商联等群团组织作用，加强产业工人队伍建设、青少年发展、妇女儿童事业发展、全民科学素质提升政策保障。深化全民国防教育，加强国防动员能力和后备力量建设。</w:t>
      </w:r>
    </w:p>
    <w:p w14:paraId="641F8FEC">
      <w:pPr>
        <w:pStyle w:val="6"/>
        <w:overflowPunct w:val="0"/>
        <w:topLinePunct/>
        <w:spacing w:before="312" w:beforeLines="100" w:after="312" w:afterLines="100" w:line="574" w:lineRule="exact"/>
        <w:rPr>
          <w:color w:val="000000" w:themeColor="text1"/>
          <w14:textFill>
            <w14:solidFill>
              <w14:schemeClr w14:val="tx1"/>
            </w14:solidFill>
          </w14:textFill>
        </w:rPr>
      </w:pPr>
      <w:bookmarkStart w:id="105" w:name="_Toc21172"/>
      <w:r>
        <w:rPr>
          <w:rFonts w:hint="eastAsia"/>
          <w:color w:val="000000" w:themeColor="text1"/>
          <w14:textFill>
            <w14:solidFill>
              <w14:schemeClr w14:val="tx1"/>
            </w14:solidFill>
          </w14:textFill>
        </w:rPr>
        <w:t>第二章 加强规划组织实施</w:t>
      </w:r>
      <w:bookmarkEnd w:id="105"/>
    </w:p>
    <w:p w14:paraId="5680F42D">
      <w:pPr>
        <w:overflowPunct w:val="0"/>
        <w:topLinePunct/>
        <w:adjustRightInd w:val="0"/>
        <w:snapToGrid w:val="0"/>
        <w:spacing w:line="574" w:lineRule="exact"/>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强化规划统领作用。</w:t>
      </w:r>
      <w:r>
        <w:rPr>
          <w:rFonts w:hint="eastAsia" w:ascii="仿宋_GB2312" w:hAnsi="仿宋_GB2312" w:eastAsia="仿宋_GB2312" w:cs="仿宋_GB2312"/>
          <w:color w:val="000000" w:themeColor="text1"/>
          <w:sz w:val="32"/>
          <w:szCs w:val="32"/>
          <w14:textFill>
            <w14:solidFill>
              <w14:schemeClr w14:val="tx1"/>
            </w14:solidFill>
          </w14:textFill>
        </w:rPr>
        <w:t>遵循下位规划服从上位规划、专项规划服从总体规划的原则。市级各部门要围绕规划《纲要》确定的目标指标、发展布局和重大战略任务、重要改革举措，加快组织编制相关专项规划；县（市、区）发展规划要加强与本规划《纲要》衔接，统筹各级各类规划编制，精简数量、提高质量，结合实际建立规划编制目录清单，避免交叉重复、增加基层负担。强化规划衔接落实，国土空间规划要为本规划《纲要》确立的重大战略任务、重大工程项目提供空间保障。</w:t>
      </w:r>
    </w:p>
    <w:p w14:paraId="47F474A0">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强化年度任务落实。</w:t>
      </w:r>
      <w:r>
        <w:rPr>
          <w:rFonts w:hint="eastAsia" w:ascii="仿宋_GB2312" w:hAnsi="方正仿宋_GB2312" w:eastAsia="仿宋_GB2312" w:cs="方正仿宋_GB2312"/>
          <w:color w:val="000000" w:themeColor="text1"/>
          <w:spacing w:val="-5"/>
          <w:sz w:val="32"/>
          <w:szCs w:val="24"/>
          <w14:textFill>
            <w14:solidFill>
              <w14:schemeClr w14:val="tx1"/>
            </w14:solidFill>
          </w14:textFill>
        </w:rPr>
        <w:t>科学制定规划实施方案，将规划《纲要》确定的主要指标、重点任务精准分解为年度目标，盯住年度工作重点，细化落实路径与责任分工。加强综合平衡调控，构建形成“长期战略-发展规划-年度计划”的系统推进模式和闭环落实机制。</w:t>
      </w:r>
    </w:p>
    <w:p w14:paraId="3C3ADD58">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强化政策协同支撑。</w:t>
      </w:r>
      <w:r>
        <w:rPr>
          <w:rFonts w:hint="eastAsia" w:ascii="仿宋_GB2312" w:hAnsi="方正仿宋_GB2312" w:eastAsia="仿宋_GB2312" w:cs="方正仿宋_GB2312"/>
          <w:color w:val="000000" w:themeColor="text1"/>
          <w:sz w:val="32"/>
          <w:szCs w:val="24"/>
          <w14:textFill>
            <w14:solidFill>
              <w14:schemeClr w14:val="tx1"/>
            </w14:solidFill>
          </w14:textFill>
        </w:rPr>
        <w:t>严格落实国家发展规划法，健全发展规划与宏观政策的协调联动和工作协同机制，推动财政、金融、产业、价格、土地等政策同向发力，资源、环境、人口、社会等公共政策应当契合本规划确定的产业发展与结构调整方向、区域发展与空间格局优化导向，增强各类政策取向一致性、实施协同性。</w:t>
      </w:r>
    </w:p>
    <w:p w14:paraId="14D859A2">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强化重大项目保障。</w:t>
      </w:r>
      <w:r>
        <w:rPr>
          <w:rFonts w:hint="eastAsia" w:ascii="仿宋_GB2312" w:hAnsi="方正仿宋_GB2312" w:eastAsia="仿宋_GB2312" w:cs="方正仿宋_GB2312"/>
          <w:color w:val="000000" w:themeColor="text1"/>
          <w:sz w:val="32"/>
          <w:szCs w:val="24"/>
          <w14:textFill>
            <w14:solidFill>
              <w14:schemeClr w14:val="tx1"/>
            </w14:solidFill>
          </w14:textFill>
        </w:rPr>
        <w:t>把重大工程项目作为规划实施的重要抓手，强化项目全生命周期服务保障，用好“四个一批”项目管理机制，推动规划项目滚动接替、有序实施。持续完善政策性资金项目储备清单、专项规划项目支撑清单、重点产业链项目招引清单，动态调整“十五五”重大项目库，对质量不高的项目及时清理，对条件成熟、带动性强的优质项目及时入库。健全“要素跟着项目走”机制，加强对重大工程项目的用地、用林、用能等要素保障，确保项目加快落地见效，对规划实施形成有力支撑。</w:t>
      </w:r>
    </w:p>
    <w:p w14:paraId="4509A36A">
      <w:pPr>
        <w:pStyle w:val="6"/>
        <w:overflowPunct w:val="0"/>
        <w:topLinePunct/>
        <w:spacing w:before="312" w:beforeLines="100" w:after="312" w:afterLines="100" w:line="574" w:lineRule="exact"/>
        <w:rPr>
          <w:color w:val="000000" w:themeColor="text1"/>
          <w14:textFill>
            <w14:solidFill>
              <w14:schemeClr w14:val="tx1"/>
            </w14:solidFill>
          </w14:textFill>
        </w:rPr>
      </w:pPr>
      <w:bookmarkStart w:id="106" w:name="_Toc26476"/>
      <w:r>
        <w:rPr>
          <w:rFonts w:hint="eastAsia"/>
          <w:color w:val="000000" w:themeColor="text1"/>
          <w14:textFill>
            <w14:solidFill>
              <w14:schemeClr w14:val="tx1"/>
            </w14:solidFill>
          </w14:textFill>
        </w:rPr>
        <w:t>第三章 健全监测监督机制</w:t>
      </w:r>
      <w:bookmarkEnd w:id="106"/>
    </w:p>
    <w:p w14:paraId="77DEE315">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完善考核评价。</w:t>
      </w:r>
      <w:r>
        <w:rPr>
          <w:rFonts w:hint="eastAsia" w:ascii="仿宋_GB2312" w:hAnsi="方正仿宋_GB2312" w:eastAsia="仿宋_GB2312" w:cs="方正仿宋_GB2312"/>
          <w:color w:val="000000" w:themeColor="text1"/>
          <w:sz w:val="32"/>
          <w:szCs w:val="24"/>
          <w14:textFill>
            <w14:solidFill>
              <w14:schemeClr w14:val="tx1"/>
            </w14:solidFill>
          </w14:textFill>
        </w:rPr>
        <w:t>完善规划实施考核评价机制，强化对创新驱动、产业发展、生态文明、民生福祉等重要目标任务完成情况的综合考核评价。建立健全规划实施综合评价与党政机关考核挂钩机制，强化考核结果运用，推动规划各项目标任务高质量完成。</w:t>
      </w:r>
    </w:p>
    <w:p w14:paraId="7B7F4ED2">
      <w:pPr>
        <w:overflowPunct w:val="0"/>
        <w:topLinePunct/>
        <w:adjustRightInd w:val="0"/>
        <w:snapToGrid w:val="0"/>
        <w:spacing w:line="574" w:lineRule="exact"/>
        <w:ind w:firstLine="643" w:firstLineChars="200"/>
        <w:rPr>
          <w:rFonts w:ascii="仿宋_GB2312" w:hAnsi="方正仿宋_GB2312" w:eastAsia="仿宋_GB2312" w:cs="方正仿宋_GB2312"/>
          <w:color w:val="000000" w:themeColor="text1"/>
          <w:sz w:val="32"/>
          <w:szCs w:val="24"/>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加强监测评估。</w:t>
      </w:r>
      <w:r>
        <w:rPr>
          <w:rFonts w:hint="eastAsia" w:ascii="仿宋_GB2312" w:hAnsi="方正仿宋_GB2312" w:eastAsia="仿宋_GB2312" w:cs="方正仿宋_GB2312"/>
          <w:color w:val="000000" w:themeColor="text1"/>
          <w:sz w:val="32"/>
          <w:szCs w:val="24"/>
          <w14:textFill>
            <w14:solidFill>
              <w14:schemeClr w14:val="tx1"/>
            </w14:solidFill>
          </w14:textFill>
        </w:rPr>
        <w:t>对规划《纲要》的重大任务、重大项目、重大工程实行清单化管理、节点化推进。适时组织开展动态监测评估、中期评估和总结评估，中期评估报告报市人大常委会审议，总结评估报告与下一规划期发展规划草案一并提交市人大审议。需对本规划《纲要》进行调整修订时，必须报市人大常委会批准。</w:t>
      </w:r>
    </w:p>
    <w:p w14:paraId="38AAF3C6">
      <w:pPr>
        <w:overflowPunct w:val="0"/>
        <w:topLinePunct/>
        <w:adjustRightInd w:val="0"/>
        <w:snapToGrid w:val="0"/>
        <w:spacing w:line="574" w:lineRule="exact"/>
        <w:ind w:firstLine="643" w:firstLineChars="200"/>
        <w:rPr>
          <w:rFonts w:ascii="仿宋_GB2312" w:hAnsi="Times New Roman" w:eastAsia="仿宋_GB2312" w:cs="Times New Roman"/>
          <w:sz w:val="28"/>
          <w:szCs w:val="28"/>
        </w:rPr>
      </w:pPr>
      <w:r>
        <w:rPr>
          <w:rFonts w:hint="eastAsia" w:ascii="楷体_GB2312" w:hAnsi="楷体_GB2312" w:eastAsia="楷体_GB2312" w:cs="楷体_GB2312"/>
          <w:b/>
          <w:bCs/>
          <w:color w:val="000000" w:themeColor="text1"/>
          <w:sz w:val="32"/>
          <w:szCs w:val="32"/>
          <w14:textFill>
            <w14:solidFill>
              <w14:schemeClr w14:val="tx1"/>
            </w14:solidFill>
          </w14:textFill>
        </w:rPr>
        <w:t>强化规划监督。</w:t>
      </w:r>
      <w:r>
        <w:rPr>
          <w:rFonts w:hint="eastAsia" w:ascii="仿宋_GB2312" w:hAnsi="方正仿宋_GB2312" w:eastAsia="仿宋_GB2312" w:cs="方正仿宋_GB2312"/>
          <w:color w:val="000000" w:themeColor="text1"/>
          <w:sz w:val="32"/>
          <w:szCs w:val="24"/>
          <w14:textFill>
            <w14:solidFill>
              <w14:schemeClr w14:val="tx1"/>
            </w14:solidFill>
          </w14:textFill>
        </w:rPr>
        <w:t>将监督融入“十五五”规划实施和各项工作全过程，强化党内监督，完善人大监督、民主监督、行政监督、司法监督、群众监督、舆论监督制度机制，发挥审计监督、统计监督职能作用，推进纪律监督、监察监督、巡察监督贯通协同，以强有力的监督保障重大决策部署落实到位，确保“十五五”时期各项目标任务如期顺利实现。</w:t>
      </w:r>
      <w:bookmarkStart w:id="107" w:name="_GoBack"/>
      <w:bookmarkEnd w:id="107"/>
    </w:p>
    <w:sectPr>
      <w:footerReference r:id="rId7" w:type="default"/>
      <w:footerReference r:id="rId8" w:type="even"/>
      <w:pgSz w:w="11906" w:h="16838"/>
      <w:pgMar w:top="2098" w:right="1474" w:bottom="1984" w:left="1587" w:header="851" w:footer="1446"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简体-WinCharSetFFFF-H">
    <w:altName w:val="宋体"/>
    <w:panose1 w:val="00000000000000000000"/>
    <w:charset w:val="00"/>
    <w:family w:val="auto"/>
    <w:pitch w:val="default"/>
    <w:sig w:usb0="00000000" w:usb1="00000000" w:usb2="0000001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DC3C0">
    <w:pPr>
      <w:pStyle w:val="22"/>
      <w:wordWrap w:val="0"/>
      <w:ind w:firstLine="140" w:firstLineChars="50"/>
      <w:jc w:val="right"/>
    </w:pPr>
    <w:sdt>
      <w:sdtPr>
        <w:rPr>
          <w:rFonts w:hint="eastAsia" w:ascii="宋体" w:hAnsi="宋体"/>
          <w:sz w:val="28"/>
          <w:szCs w:val="28"/>
        </w:rPr>
        <w:id w:val="698753727"/>
        <w:docPartObj>
          <w:docPartGallery w:val="autotext"/>
        </w:docPartObj>
      </w:sdtPr>
      <w:sdtEndPr>
        <w:rPr>
          <w:rFonts w:hint="eastAsia" w:ascii="宋体" w:hAnsi="宋体"/>
          <w:sz w:val="28"/>
          <w:szCs w:val="28"/>
        </w:rPr>
      </w:sdtEndPr>
      <w:sdtContent>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sdtContent>
    </w:sdt>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sz w:val="28"/>
        <w:szCs w:val="28"/>
      </w:rPr>
      <w:id w:val="-1"/>
      <w:docPartObj>
        <w:docPartGallery w:val="autotext"/>
      </w:docPartObj>
    </w:sdtPr>
    <w:sdtEndPr>
      <w:rPr>
        <w:rFonts w:hint="eastAsia" w:ascii="宋体" w:hAnsi="宋体"/>
        <w:sz w:val="28"/>
        <w:szCs w:val="28"/>
      </w:rPr>
    </w:sdtEndPr>
    <w:sdtContent>
      <w:p w14:paraId="44360582">
        <w:pPr>
          <w:pStyle w:val="22"/>
          <w:ind w:firstLine="420" w:firstLineChars="150"/>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hint="eastAsia" w:ascii="宋体" w:hAnsi="宋体"/>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BAD3A">
    <w:pPr>
      <w:pStyle w:val="2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6921F">
                          <w:pPr>
                            <w:pStyle w:val="22"/>
                          </w:pPr>
                          <w:r>
                            <w:t xml:space="preserve">— </w:t>
                          </w:r>
                          <w:r>
                            <w:fldChar w:fldCharType="begin"/>
                          </w:r>
                          <w:r>
                            <w:instrText xml:space="preserve"> PAGE  \* MERGEFORMAT </w:instrText>
                          </w:r>
                          <w:r>
                            <w:fldChar w:fldCharType="separate"/>
                          </w:r>
                          <w:r>
                            <w:t>106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A6921F">
                    <w:pPr>
                      <w:pStyle w:val="22"/>
                    </w:pPr>
                    <w:r>
                      <w:t xml:space="preserve">— </w:t>
                    </w:r>
                    <w:r>
                      <w:fldChar w:fldCharType="begin"/>
                    </w:r>
                    <w:r>
                      <w:instrText xml:space="preserve"> PAGE  \* MERGEFORMAT </w:instrText>
                    </w:r>
                    <w:r>
                      <w:fldChar w:fldCharType="separate"/>
                    </w:r>
                    <w:r>
                      <w:t>106</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8D320">
    <w:pPr>
      <w:pStyle w:val="22"/>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7A6C82">
                          <w:pPr>
                            <w:pStyle w:val="22"/>
                            <w:ind w:left="420" w:leftChars="200" w:right="420" w:rightChars="200"/>
                            <w:jc w:val="both"/>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A7A6C82">
                    <w:pPr>
                      <w:pStyle w:val="22"/>
                      <w:ind w:left="420" w:leftChars="200" w:right="420" w:rightChars="200"/>
                      <w:jc w:val="both"/>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7E209">
    <w:pPr>
      <w:pStyle w:val="2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6CF84">
                          <w:pPr>
                            <w:pStyle w:val="22"/>
                            <w:ind w:left="420" w:leftChars="200" w:right="420" w:rightChars="200"/>
                            <w:rPr>
                              <w:rFonts w:ascii="宋体" w:hAnsi="宋体" w:eastAsia="宋体" w:cs="宋体"/>
                              <w:sz w:val="28"/>
                            </w:rPr>
                          </w:pPr>
                          <w:r>
                            <w:rPr>
                              <w:rFonts w:hint="eastAsia" w:ascii="宋体" w:hAnsi="宋体" w:eastAsia="宋体" w:cs="宋体"/>
                              <w:sz w:val="28"/>
                            </w:rPr>
                            <w:t xml:space="preserve">— </w:t>
                          </w: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rPr>
                              <w:rFonts w:ascii="宋体" w:hAnsi="宋体" w:eastAsia="宋体" w:cs="宋体"/>
                              <w:sz w:val="28"/>
                            </w:rPr>
                            <w:t>107</w:t>
                          </w:r>
                          <w:r>
                            <w:rPr>
                              <w:rFonts w:hint="eastAsia" w:ascii="宋体" w:hAnsi="宋体" w:eastAsia="宋体" w:cs="宋体"/>
                              <w:sz w:val="28"/>
                            </w:rPr>
                            <w:fldChar w:fldCharType="end"/>
                          </w:r>
                          <w:r>
                            <w:rPr>
                              <w:rFonts w:hint="eastAsia" w:ascii="宋体" w:hAnsi="宋体" w:eastAsia="宋体" w:cs="宋体"/>
                              <w:sz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3E6CF84">
                    <w:pPr>
                      <w:pStyle w:val="22"/>
                      <w:ind w:left="420" w:leftChars="200" w:right="420" w:rightChars="200"/>
                      <w:rPr>
                        <w:rFonts w:ascii="宋体" w:hAnsi="宋体" w:eastAsia="宋体" w:cs="宋体"/>
                        <w:sz w:val="28"/>
                      </w:rPr>
                    </w:pPr>
                    <w:r>
                      <w:rPr>
                        <w:rFonts w:hint="eastAsia" w:ascii="宋体" w:hAnsi="宋体" w:eastAsia="宋体" w:cs="宋体"/>
                        <w:sz w:val="28"/>
                      </w:rPr>
                      <w:t xml:space="preserve">— </w:t>
                    </w: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rPr>
                        <w:rFonts w:ascii="宋体" w:hAnsi="宋体" w:eastAsia="宋体" w:cs="宋体"/>
                        <w:sz w:val="28"/>
                      </w:rPr>
                      <w:t>107</w:t>
                    </w:r>
                    <w:r>
                      <w:rPr>
                        <w:rFonts w:hint="eastAsia" w:ascii="宋体" w:hAnsi="宋体" w:eastAsia="宋体" w:cs="宋体"/>
                        <w:sz w:val="28"/>
                      </w:rPr>
                      <w:fldChar w:fldCharType="end"/>
                    </w:r>
                    <w:r>
                      <w:rPr>
                        <w:rFonts w:hint="eastAsia" w:ascii="宋体" w:hAnsi="宋体" w:eastAsia="宋体" w:cs="宋体"/>
                        <w:sz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79A3C">
    <w:pPr>
      <w:pStyle w:val="2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9AAF8">
                          <w:pPr>
                            <w:pStyle w:val="22"/>
                            <w:ind w:left="420" w:leftChars="200" w:right="420" w:rightChars="200"/>
                            <w:rPr>
                              <w:rFonts w:ascii="宋体" w:hAnsi="宋体" w:eastAsia="宋体" w:cs="宋体"/>
                              <w:sz w:val="28"/>
                            </w:rPr>
                          </w:pPr>
                          <w:r>
                            <w:rPr>
                              <w:rFonts w:hint="eastAsia" w:ascii="宋体" w:hAnsi="宋体" w:eastAsia="宋体" w:cs="宋体"/>
                              <w:sz w:val="28"/>
                            </w:rPr>
                            <w:t xml:space="preserve">— </w:t>
                          </w: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rPr>
                              <w:rFonts w:ascii="宋体" w:hAnsi="宋体" w:eastAsia="宋体" w:cs="宋体"/>
                              <w:sz w:val="28"/>
                            </w:rPr>
                            <w:t>108</w:t>
                          </w:r>
                          <w:r>
                            <w:rPr>
                              <w:rFonts w:hint="eastAsia" w:ascii="宋体" w:hAnsi="宋体" w:eastAsia="宋体" w:cs="宋体"/>
                              <w:sz w:val="28"/>
                            </w:rPr>
                            <w:fldChar w:fldCharType="end"/>
                          </w:r>
                          <w:r>
                            <w:rPr>
                              <w:rFonts w:hint="eastAsia" w:ascii="宋体" w:hAnsi="宋体" w:eastAsia="宋体" w:cs="宋体"/>
                              <w:sz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F89AAF8">
                    <w:pPr>
                      <w:pStyle w:val="22"/>
                      <w:ind w:left="420" w:leftChars="200" w:right="420" w:rightChars="200"/>
                      <w:rPr>
                        <w:rFonts w:ascii="宋体" w:hAnsi="宋体" w:eastAsia="宋体" w:cs="宋体"/>
                        <w:sz w:val="28"/>
                      </w:rPr>
                    </w:pPr>
                    <w:r>
                      <w:rPr>
                        <w:rFonts w:hint="eastAsia" w:ascii="宋体" w:hAnsi="宋体" w:eastAsia="宋体" w:cs="宋体"/>
                        <w:sz w:val="28"/>
                      </w:rPr>
                      <w:t xml:space="preserve">— </w:t>
                    </w: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rPr>
                        <w:rFonts w:ascii="宋体" w:hAnsi="宋体" w:eastAsia="宋体" w:cs="宋体"/>
                        <w:sz w:val="28"/>
                      </w:rPr>
                      <w:t>108</w:t>
                    </w:r>
                    <w:r>
                      <w:rPr>
                        <w:rFonts w:hint="eastAsia" w:ascii="宋体" w:hAnsi="宋体" w:eastAsia="宋体" w:cs="宋体"/>
                        <w:sz w:val="28"/>
                      </w:rPr>
                      <w:fldChar w:fldCharType="end"/>
                    </w:r>
                    <w:r>
                      <w:rPr>
                        <w:rFonts w:hint="eastAsia" w:ascii="宋体" w:hAnsi="宋体" w:eastAsia="宋体" w:cs="宋体"/>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CEABE4"/>
    <w:multiLevelType w:val="singleLevel"/>
    <w:tmpl w:val="75CEABE4"/>
    <w:lvl w:ilvl="0" w:tentative="0">
      <w:start w:val="7"/>
      <w:numFmt w:val="chineseCounting"/>
      <w:suff w:val="space"/>
      <w:lvlText w:val="第%1篇"/>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A9"/>
    <w:rsid w:val="000060AA"/>
    <w:rsid w:val="000147FC"/>
    <w:rsid w:val="00031093"/>
    <w:rsid w:val="00031304"/>
    <w:rsid w:val="00031489"/>
    <w:rsid w:val="000325F4"/>
    <w:rsid w:val="00032D4C"/>
    <w:rsid w:val="00037CF4"/>
    <w:rsid w:val="00041A3A"/>
    <w:rsid w:val="00041A6B"/>
    <w:rsid w:val="00041D0A"/>
    <w:rsid w:val="0004313C"/>
    <w:rsid w:val="000515C5"/>
    <w:rsid w:val="000529DE"/>
    <w:rsid w:val="00054845"/>
    <w:rsid w:val="00056E6E"/>
    <w:rsid w:val="00065346"/>
    <w:rsid w:val="000720CE"/>
    <w:rsid w:val="000767C6"/>
    <w:rsid w:val="00077081"/>
    <w:rsid w:val="00077630"/>
    <w:rsid w:val="00090EA5"/>
    <w:rsid w:val="00091BB7"/>
    <w:rsid w:val="00097471"/>
    <w:rsid w:val="000A3DA5"/>
    <w:rsid w:val="000A6204"/>
    <w:rsid w:val="000B2876"/>
    <w:rsid w:val="000C1F15"/>
    <w:rsid w:val="000C5A57"/>
    <w:rsid w:val="000D0E8E"/>
    <w:rsid w:val="000D4622"/>
    <w:rsid w:val="000E40F9"/>
    <w:rsid w:val="000F697F"/>
    <w:rsid w:val="00105AB0"/>
    <w:rsid w:val="001067BC"/>
    <w:rsid w:val="00110937"/>
    <w:rsid w:val="0011198E"/>
    <w:rsid w:val="00112B93"/>
    <w:rsid w:val="00114223"/>
    <w:rsid w:val="001555DB"/>
    <w:rsid w:val="001575E0"/>
    <w:rsid w:val="00163DEC"/>
    <w:rsid w:val="00190317"/>
    <w:rsid w:val="00190818"/>
    <w:rsid w:val="001929A1"/>
    <w:rsid w:val="001932D4"/>
    <w:rsid w:val="00193A80"/>
    <w:rsid w:val="00194BAA"/>
    <w:rsid w:val="00195980"/>
    <w:rsid w:val="001A117E"/>
    <w:rsid w:val="001A21DB"/>
    <w:rsid w:val="001A25C6"/>
    <w:rsid w:val="001A555C"/>
    <w:rsid w:val="001A5603"/>
    <w:rsid w:val="001A5BA0"/>
    <w:rsid w:val="001A6221"/>
    <w:rsid w:val="001B3BCD"/>
    <w:rsid w:val="001C795C"/>
    <w:rsid w:val="001D22F4"/>
    <w:rsid w:val="001D727D"/>
    <w:rsid w:val="001D750F"/>
    <w:rsid w:val="001E1DE0"/>
    <w:rsid w:val="001E642A"/>
    <w:rsid w:val="001F25C9"/>
    <w:rsid w:val="001F3342"/>
    <w:rsid w:val="001F4C04"/>
    <w:rsid w:val="001F6AFA"/>
    <w:rsid w:val="001F7267"/>
    <w:rsid w:val="00205643"/>
    <w:rsid w:val="00207D7F"/>
    <w:rsid w:val="00210434"/>
    <w:rsid w:val="00216F44"/>
    <w:rsid w:val="00220D39"/>
    <w:rsid w:val="0022311B"/>
    <w:rsid w:val="002339AE"/>
    <w:rsid w:val="00247BCF"/>
    <w:rsid w:val="002504B6"/>
    <w:rsid w:val="00251064"/>
    <w:rsid w:val="00252B6C"/>
    <w:rsid w:val="0025402C"/>
    <w:rsid w:val="0025691F"/>
    <w:rsid w:val="00261428"/>
    <w:rsid w:val="00262E5D"/>
    <w:rsid w:val="00283AFD"/>
    <w:rsid w:val="00286A38"/>
    <w:rsid w:val="00286D8C"/>
    <w:rsid w:val="00290FD6"/>
    <w:rsid w:val="00293CF1"/>
    <w:rsid w:val="00293E88"/>
    <w:rsid w:val="002A53AE"/>
    <w:rsid w:val="002A55C7"/>
    <w:rsid w:val="002B0DFD"/>
    <w:rsid w:val="002B3D38"/>
    <w:rsid w:val="002B4BAC"/>
    <w:rsid w:val="002B6C73"/>
    <w:rsid w:val="002C056C"/>
    <w:rsid w:val="002C1AB5"/>
    <w:rsid w:val="002C67C2"/>
    <w:rsid w:val="002C6C72"/>
    <w:rsid w:val="002D122C"/>
    <w:rsid w:val="002D22A2"/>
    <w:rsid w:val="002E2DAD"/>
    <w:rsid w:val="002E394B"/>
    <w:rsid w:val="00320F7C"/>
    <w:rsid w:val="00324A64"/>
    <w:rsid w:val="00325AB2"/>
    <w:rsid w:val="00331745"/>
    <w:rsid w:val="0033374B"/>
    <w:rsid w:val="00342225"/>
    <w:rsid w:val="003437A3"/>
    <w:rsid w:val="0034425F"/>
    <w:rsid w:val="00345A8F"/>
    <w:rsid w:val="00347D33"/>
    <w:rsid w:val="00351023"/>
    <w:rsid w:val="003527FA"/>
    <w:rsid w:val="00353323"/>
    <w:rsid w:val="00364253"/>
    <w:rsid w:val="00367561"/>
    <w:rsid w:val="00377076"/>
    <w:rsid w:val="00377108"/>
    <w:rsid w:val="00384451"/>
    <w:rsid w:val="00386B4E"/>
    <w:rsid w:val="00392F6D"/>
    <w:rsid w:val="003A45E8"/>
    <w:rsid w:val="003A4C86"/>
    <w:rsid w:val="003B188C"/>
    <w:rsid w:val="003B5E0F"/>
    <w:rsid w:val="003C4AC2"/>
    <w:rsid w:val="003D1475"/>
    <w:rsid w:val="003D47D8"/>
    <w:rsid w:val="003E0E14"/>
    <w:rsid w:val="003E5637"/>
    <w:rsid w:val="003E56AA"/>
    <w:rsid w:val="003E5CCA"/>
    <w:rsid w:val="003E7396"/>
    <w:rsid w:val="003F2B7C"/>
    <w:rsid w:val="003F3DA4"/>
    <w:rsid w:val="003F5531"/>
    <w:rsid w:val="00401D6F"/>
    <w:rsid w:val="00404F97"/>
    <w:rsid w:val="00412FFB"/>
    <w:rsid w:val="00414ACB"/>
    <w:rsid w:val="004163BE"/>
    <w:rsid w:val="00421B2D"/>
    <w:rsid w:val="00425C05"/>
    <w:rsid w:val="00431048"/>
    <w:rsid w:val="0043630F"/>
    <w:rsid w:val="004422A8"/>
    <w:rsid w:val="00442AB3"/>
    <w:rsid w:val="004430B4"/>
    <w:rsid w:val="004526D8"/>
    <w:rsid w:val="00453509"/>
    <w:rsid w:val="00457E2D"/>
    <w:rsid w:val="00464E57"/>
    <w:rsid w:val="004678E9"/>
    <w:rsid w:val="00474032"/>
    <w:rsid w:val="00477380"/>
    <w:rsid w:val="004807F5"/>
    <w:rsid w:val="00484C90"/>
    <w:rsid w:val="00487EBB"/>
    <w:rsid w:val="0049061E"/>
    <w:rsid w:val="00491719"/>
    <w:rsid w:val="004B054A"/>
    <w:rsid w:val="004B0C9D"/>
    <w:rsid w:val="004C1B3C"/>
    <w:rsid w:val="004C203B"/>
    <w:rsid w:val="004D20DF"/>
    <w:rsid w:val="004D57EB"/>
    <w:rsid w:val="004D5F81"/>
    <w:rsid w:val="004D6652"/>
    <w:rsid w:val="004D74DA"/>
    <w:rsid w:val="004E452C"/>
    <w:rsid w:val="004F0D81"/>
    <w:rsid w:val="004F6E5F"/>
    <w:rsid w:val="004F6FDF"/>
    <w:rsid w:val="00503B0A"/>
    <w:rsid w:val="0050646F"/>
    <w:rsid w:val="005120FA"/>
    <w:rsid w:val="005128FC"/>
    <w:rsid w:val="005129D7"/>
    <w:rsid w:val="0051450D"/>
    <w:rsid w:val="00516892"/>
    <w:rsid w:val="00516B2F"/>
    <w:rsid w:val="00517B6C"/>
    <w:rsid w:val="005217BA"/>
    <w:rsid w:val="00522AC9"/>
    <w:rsid w:val="00525E24"/>
    <w:rsid w:val="00536DD0"/>
    <w:rsid w:val="00540677"/>
    <w:rsid w:val="005438B3"/>
    <w:rsid w:val="00545B88"/>
    <w:rsid w:val="00547457"/>
    <w:rsid w:val="005514C1"/>
    <w:rsid w:val="00563ED1"/>
    <w:rsid w:val="00563FB9"/>
    <w:rsid w:val="00564218"/>
    <w:rsid w:val="00565D93"/>
    <w:rsid w:val="00576666"/>
    <w:rsid w:val="00581ED6"/>
    <w:rsid w:val="005848CE"/>
    <w:rsid w:val="005A1644"/>
    <w:rsid w:val="005A1C03"/>
    <w:rsid w:val="005A26C8"/>
    <w:rsid w:val="005A4A8E"/>
    <w:rsid w:val="005A69FF"/>
    <w:rsid w:val="005B176B"/>
    <w:rsid w:val="005B197B"/>
    <w:rsid w:val="005B1E68"/>
    <w:rsid w:val="005B1F0B"/>
    <w:rsid w:val="005B6F63"/>
    <w:rsid w:val="005C33E9"/>
    <w:rsid w:val="005C3E4A"/>
    <w:rsid w:val="005D05BC"/>
    <w:rsid w:val="005D0D63"/>
    <w:rsid w:val="005D7A75"/>
    <w:rsid w:val="005D7FF2"/>
    <w:rsid w:val="005E3FCC"/>
    <w:rsid w:val="005E4C5C"/>
    <w:rsid w:val="005E5333"/>
    <w:rsid w:val="005E5A73"/>
    <w:rsid w:val="005E6D63"/>
    <w:rsid w:val="005E766D"/>
    <w:rsid w:val="005F2263"/>
    <w:rsid w:val="00601855"/>
    <w:rsid w:val="0060305D"/>
    <w:rsid w:val="00605CF8"/>
    <w:rsid w:val="00615047"/>
    <w:rsid w:val="00615ABE"/>
    <w:rsid w:val="00616622"/>
    <w:rsid w:val="00617846"/>
    <w:rsid w:val="006212E2"/>
    <w:rsid w:val="00623BD9"/>
    <w:rsid w:val="0062502F"/>
    <w:rsid w:val="00626F36"/>
    <w:rsid w:val="006409EE"/>
    <w:rsid w:val="00640D08"/>
    <w:rsid w:val="00642E65"/>
    <w:rsid w:val="00645B95"/>
    <w:rsid w:val="0065297C"/>
    <w:rsid w:val="00662A39"/>
    <w:rsid w:val="00666FF2"/>
    <w:rsid w:val="00675A57"/>
    <w:rsid w:val="00695E6E"/>
    <w:rsid w:val="006C0A51"/>
    <w:rsid w:val="006C1E6E"/>
    <w:rsid w:val="006C26FB"/>
    <w:rsid w:val="006C37A4"/>
    <w:rsid w:val="006C4812"/>
    <w:rsid w:val="006D68EE"/>
    <w:rsid w:val="006E6B65"/>
    <w:rsid w:val="006F1F57"/>
    <w:rsid w:val="00704AE9"/>
    <w:rsid w:val="00707DF8"/>
    <w:rsid w:val="00710013"/>
    <w:rsid w:val="0071177D"/>
    <w:rsid w:val="00720B8D"/>
    <w:rsid w:val="0073613B"/>
    <w:rsid w:val="0075608C"/>
    <w:rsid w:val="007577B4"/>
    <w:rsid w:val="00764C30"/>
    <w:rsid w:val="0077537E"/>
    <w:rsid w:val="007770D8"/>
    <w:rsid w:val="0077745D"/>
    <w:rsid w:val="00792799"/>
    <w:rsid w:val="007B0BB2"/>
    <w:rsid w:val="007C4EE1"/>
    <w:rsid w:val="007E4752"/>
    <w:rsid w:val="007E6F07"/>
    <w:rsid w:val="00802781"/>
    <w:rsid w:val="00804A6D"/>
    <w:rsid w:val="008208D0"/>
    <w:rsid w:val="0082214B"/>
    <w:rsid w:val="0082289F"/>
    <w:rsid w:val="00825DE8"/>
    <w:rsid w:val="008279AC"/>
    <w:rsid w:val="0083549E"/>
    <w:rsid w:val="00842077"/>
    <w:rsid w:val="008450E5"/>
    <w:rsid w:val="0085527F"/>
    <w:rsid w:val="00855FB2"/>
    <w:rsid w:val="00870076"/>
    <w:rsid w:val="00873DE3"/>
    <w:rsid w:val="00874A9E"/>
    <w:rsid w:val="00875968"/>
    <w:rsid w:val="00877D8D"/>
    <w:rsid w:val="00880C21"/>
    <w:rsid w:val="0088617B"/>
    <w:rsid w:val="00894140"/>
    <w:rsid w:val="008A58E4"/>
    <w:rsid w:val="008A648F"/>
    <w:rsid w:val="008C38BD"/>
    <w:rsid w:val="008C3B21"/>
    <w:rsid w:val="008C76F2"/>
    <w:rsid w:val="008D1298"/>
    <w:rsid w:val="008D537C"/>
    <w:rsid w:val="008D54B6"/>
    <w:rsid w:val="008E1976"/>
    <w:rsid w:val="008E439B"/>
    <w:rsid w:val="008E5A98"/>
    <w:rsid w:val="008F0781"/>
    <w:rsid w:val="008F46B7"/>
    <w:rsid w:val="008F4E15"/>
    <w:rsid w:val="008F7B7A"/>
    <w:rsid w:val="00900D0E"/>
    <w:rsid w:val="009127F7"/>
    <w:rsid w:val="00912951"/>
    <w:rsid w:val="00923D2D"/>
    <w:rsid w:val="00924E70"/>
    <w:rsid w:val="009378A4"/>
    <w:rsid w:val="0094052E"/>
    <w:rsid w:val="009423C9"/>
    <w:rsid w:val="00943173"/>
    <w:rsid w:val="00943746"/>
    <w:rsid w:val="00944AED"/>
    <w:rsid w:val="00951539"/>
    <w:rsid w:val="00951F79"/>
    <w:rsid w:val="0095300A"/>
    <w:rsid w:val="00954684"/>
    <w:rsid w:val="00960F23"/>
    <w:rsid w:val="00963DFB"/>
    <w:rsid w:val="009647FE"/>
    <w:rsid w:val="009648B9"/>
    <w:rsid w:val="0097279E"/>
    <w:rsid w:val="0099169C"/>
    <w:rsid w:val="00991AAD"/>
    <w:rsid w:val="00991B3A"/>
    <w:rsid w:val="00991EA1"/>
    <w:rsid w:val="00994EFF"/>
    <w:rsid w:val="009A2292"/>
    <w:rsid w:val="009B1BE5"/>
    <w:rsid w:val="009B2EF0"/>
    <w:rsid w:val="009B34B4"/>
    <w:rsid w:val="009C27F4"/>
    <w:rsid w:val="009C3374"/>
    <w:rsid w:val="009C4D61"/>
    <w:rsid w:val="009C679A"/>
    <w:rsid w:val="009C7E88"/>
    <w:rsid w:val="009E4DE7"/>
    <w:rsid w:val="009E562B"/>
    <w:rsid w:val="009E5A3E"/>
    <w:rsid w:val="009E5AA7"/>
    <w:rsid w:val="009F5895"/>
    <w:rsid w:val="009F70C1"/>
    <w:rsid w:val="00A036C7"/>
    <w:rsid w:val="00A0385F"/>
    <w:rsid w:val="00A040D7"/>
    <w:rsid w:val="00A167A5"/>
    <w:rsid w:val="00A17CDA"/>
    <w:rsid w:val="00A20CE6"/>
    <w:rsid w:val="00A217F8"/>
    <w:rsid w:val="00A22066"/>
    <w:rsid w:val="00A3058F"/>
    <w:rsid w:val="00A344F9"/>
    <w:rsid w:val="00A429AF"/>
    <w:rsid w:val="00A4798A"/>
    <w:rsid w:val="00A500FC"/>
    <w:rsid w:val="00A53059"/>
    <w:rsid w:val="00A5640C"/>
    <w:rsid w:val="00A64534"/>
    <w:rsid w:val="00A66682"/>
    <w:rsid w:val="00A6674E"/>
    <w:rsid w:val="00A73BAC"/>
    <w:rsid w:val="00A760D9"/>
    <w:rsid w:val="00A76D93"/>
    <w:rsid w:val="00A8211C"/>
    <w:rsid w:val="00A852C0"/>
    <w:rsid w:val="00A8622C"/>
    <w:rsid w:val="00A940C1"/>
    <w:rsid w:val="00AA6119"/>
    <w:rsid w:val="00AB0A20"/>
    <w:rsid w:val="00AB14DD"/>
    <w:rsid w:val="00AB3ADE"/>
    <w:rsid w:val="00AC58D6"/>
    <w:rsid w:val="00AE28EC"/>
    <w:rsid w:val="00AE58EE"/>
    <w:rsid w:val="00AF20AD"/>
    <w:rsid w:val="00AF730F"/>
    <w:rsid w:val="00B00827"/>
    <w:rsid w:val="00B0130F"/>
    <w:rsid w:val="00B065E2"/>
    <w:rsid w:val="00B10880"/>
    <w:rsid w:val="00B11535"/>
    <w:rsid w:val="00B157D1"/>
    <w:rsid w:val="00B15963"/>
    <w:rsid w:val="00B22929"/>
    <w:rsid w:val="00B24462"/>
    <w:rsid w:val="00B274A6"/>
    <w:rsid w:val="00B313BC"/>
    <w:rsid w:val="00B347E3"/>
    <w:rsid w:val="00B35C76"/>
    <w:rsid w:val="00B41F4E"/>
    <w:rsid w:val="00B50E81"/>
    <w:rsid w:val="00B55F81"/>
    <w:rsid w:val="00B62108"/>
    <w:rsid w:val="00B64C3B"/>
    <w:rsid w:val="00B67F04"/>
    <w:rsid w:val="00B7771D"/>
    <w:rsid w:val="00B8455F"/>
    <w:rsid w:val="00B90B9C"/>
    <w:rsid w:val="00B918D0"/>
    <w:rsid w:val="00B9347A"/>
    <w:rsid w:val="00B97C3B"/>
    <w:rsid w:val="00BB09D4"/>
    <w:rsid w:val="00BC5DA7"/>
    <w:rsid w:val="00BD0586"/>
    <w:rsid w:val="00BD4DA9"/>
    <w:rsid w:val="00BD560F"/>
    <w:rsid w:val="00BD612C"/>
    <w:rsid w:val="00BD7281"/>
    <w:rsid w:val="00BF1696"/>
    <w:rsid w:val="00BF3911"/>
    <w:rsid w:val="00BF4311"/>
    <w:rsid w:val="00BF61E0"/>
    <w:rsid w:val="00C03EF8"/>
    <w:rsid w:val="00C0557E"/>
    <w:rsid w:val="00C138AD"/>
    <w:rsid w:val="00C16A42"/>
    <w:rsid w:val="00C21FEC"/>
    <w:rsid w:val="00C26E87"/>
    <w:rsid w:val="00C32A0D"/>
    <w:rsid w:val="00C3611F"/>
    <w:rsid w:val="00C42436"/>
    <w:rsid w:val="00C424BB"/>
    <w:rsid w:val="00C52F85"/>
    <w:rsid w:val="00C53278"/>
    <w:rsid w:val="00C6331F"/>
    <w:rsid w:val="00C648DD"/>
    <w:rsid w:val="00C663C8"/>
    <w:rsid w:val="00C72560"/>
    <w:rsid w:val="00C76059"/>
    <w:rsid w:val="00C77C5A"/>
    <w:rsid w:val="00C77D79"/>
    <w:rsid w:val="00C8215B"/>
    <w:rsid w:val="00C8548A"/>
    <w:rsid w:val="00CA00FA"/>
    <w:rsid w:val="00CA0351"/>
    <w:rsid w:val="00CA7492"/>
    <w:rsid w:val="00CB36D6"/>
    <w:rsid w:val="00CC0B40"/>
    <w:rsid w:val="00CC44FB"/>
    <w:rsid w:val="00CD1045"/>
    <w:rsid w:val="00CD684C"/>
    <w:rsid w:val="00CE1ECC"/>
    <w:rsid w:val="00CE2C2A"/>
    <w:rsid w:val="00CE32D4"/>
    <w:rsid w:val="00CE4648"/>
    <w:rsid w:val="00CE7AD5"/>
    <w:rsid w:val="00CF0555"/>
    <w:rsid w:val="00CF1647"/>
    <w:rsid w:val="00CF1ECB"/>
    <w:rsid w:val="00D00034"/>
    <w:rsid w:val="00D00CB5"/>
    <w:rsid w:val="00D06E34"/>
    <w:rsid w:val="00D10565"/>
    <w:rsid w:val="00D1395D"/>
    <w:rsid w:val="00D208E5"/>
    <w:rsid w:val="00D23A8A"/>
    <w:rsid w:val="00D25DB8"/>
    <w:rsid w:val="00D35A86"/>
    <w:rsid w:val="00D43841"/>
    <w:rsid w:val="00D45FBD"/>
    <w:rsid w:val="00D57F29"/>
    <w:rsid w:val="00D60CD9"/>
    <w:rsid w:val="00D706C0"/>
    <w:rsid w:val="00D713E0"/>
    <w:rsid w:val="00D71B65"/>
    <w:rsid w:val="00D7314D"/>
    <w:rsid w:val="00D75325"/>
    <w:rsid w:val="00D77DC2"/>
    <w:rsid w:val="00D81197"/>
    <w:rsid w:val="00D814B4"/>
    <w:rsid w:val="00D8357D"/>
    <w:rsid w:val="00D90531"/>
    <w:rsid w:val="00D909D3"/>
    <w:rsid w:val="00D91B50"/>
    <w:rsid w:val="00D95479"/>
    <w:rsid w:val="00DA36EF"/>
    <w:rsid w:val="00DA3F80"/>
    <w:rsid w:val="00DA5612"/>
    <w:rsid w:val="00DA5F33"/>
    <w:rsid w:val="00DB262E"/>
    <w:rsid w:val="00DB2C1C"/>
    <w:rsid w:val="00DC2B54"/>
    <w:rsid w:val="00DD50EE"/>
    <w:rsid w:val="00DE65E1"/>
    <w:rsid w:val="00DF298B"/>
    <w:rsid w:val="00DF64B2"/>
    <w:rsid w:val="00DF7FA1"/>
    <w:rsid w:val="00E078B1"/>
    <w:rsid w:val="00E10091"/>
    <w:rsid w:val="00E14D94"/>
    <w:rsid w:val="00E20359"/>
    <w:rsid w:val="00E2374A"/>
    <w:rsid w:val="00E31B58"/>
    <w:rsid w:val="00E33BDD"/>
    <w:rsid w:val="00E37BE0"/>
    <w:rsid w:val="00E4669C"/>
    <w:rsid w:val="00E46E35"/>
    <w:rsid w:val="00E4781B"/>
    <w:rsid w:val="00E50FBC"/>
    <w:rsid w:val="00E53341"/>
    <w:rsid w:val="00E56636"/>
    <w:rsid w:val="00E70BDA"/>
    <w:rsid w:val="00E711BC"/>
    <w:rsid w:val="00E7206C"/>
    <w:rsid w:val="00E83EAA"/>
    <w:rsid w:val="00E9041F"/>
    <w:rsid w:val="00E9089C"/>
    <w:rsid w:val="00E97E4B"/>
    <w:rsid w:val="00EA4FFE"/>
    <w:rsid w:val="00EA7488"/>
    <w:rsid w:val="00EC1F0C"/>
    <w:rsid w:val="00EC3CCB"/>
    <w:rsid w:val="00EC4231"/>
    <w:rsid w:val="00EC4A0B"/>
    <w:rsid w:val="00ED102A"/>
    <w:rsid w:val="00ED1B9D"/>
    <w:rsid w:val="00EE0920"/>
    <w:rsid w:val="00EF09F8"/>
    <w:rsid w:val="00EF55C6"/>
    <w:rsid w:val="00F02726"/>
    <w:rsid w:val="00F036A4"/>
    <w:rsid w:val="00F048B4"/>
    <w:rsid w:val="00F13758"/>
    <w:rsid w:val="00F15AA6"/>
    <w:rsid w:val="00F16C39"/>
    <w:rsid w:val="00F20140"/>
    <w:rsid w:val="00F20BF2"/>
    <w:rsid w:val="00F237EE"/>
    <w:rsid w:val="00F27B3D"/>
    <w:rsid w:val="00F46158"/>
    <w:rsid w:val="00F47BD9"/>
    <w:rsid w:val="00F50D08"/>
    <w:rsid w:val="00F558DA"/>
    <w:rsid w:val="00F622FF"/>
    <w:rsid w:val="00F6503C"/>
    <w:rsid w:val="00F70B85"/>
    <w:rsid w:val="00F80DAE"/>
    <w:rsid w:val="00F85D5E"/>
    <w:rsid w:val="00FA1F25"/>
    <w:rsid w:val="00FA28E6"/>
    <w:rsid w:val="00FA7D53"/>
    <w:rsid w:val="00FB1C49"/>
    <w:rsid w:val="00FB4904"/>
    <w:rsid w:val="00FB5462"/>
    <w:rsid w:val="00FC6879"/>
    <w:rsid w:val="00FD1C5D"/>
    <w:rsid w:val="00FD3D58"/>
    <w:rsid w:val="00FD6BFF"/>
    <w:rsid w:val="00FE08A8"/>
    <w:rsid w:val="00FF499B"/>
    <w:rsid w:val="00FF6023"/>
    <w:rsid w:val="01314F01"/>
    <w:rsid w:val="015008A7"/>
    <w:rsid w:val="01511CDE"/>
    <w:rsid w:val="015C2B0C"/>
    <w:rsid w:val="018C1895"/>
    <w:rsid w:val="01964C25"/>
    <w:rsid w:val="01F176F8"/>
    <w:rsid w:val="01F25CB3"/>
    <w:rsid w:val="01FF0DD2"/>
    <w:rsid w:val="020F624C"/>
    <w:rsid w:val="02845090"/>
    <w:rsid w:val="02907ECF"/>
    <w:rsid w:val="02C06C91"/>
    <w:rsid w:val="02CB7F49"/>
    <w:rsid w:val="02D507E3"/>
    <w:rsid w:val="03052D24"/>
    <w:rsid w:val="03187320"/>
    <w:rsid w:val="031F3DF1"/>
    <w:rsid w:val="03586DE0"/>
    <w:rsid w:val="03C2536E"/>
    <w:rsid w:val="03C5243A"/>
    <w:rsid w:val="03DF4A43"/>
    <w:rsid w:val="0418735A"/>
    <w:rsid w:val="04307DED"/>
    <w:rsid w:val="043D5EC0"/>
    <w:rsid w:val="044C3E9A"/>
    <w:rsid w:val="04533824"/>
    <w:rsid w:val="0455536E"/>
    <w:rsid w:val="04662845"/>
    <w:rsid w:val="049327EB"/>
    <w:rsid w:val="04A14C29"/>
    <w:rsid w:val="04DD285E"/>
    <w:rsid w:val="05221FFF"/>
    <w:rsid w:val="052B25AB"/>
    <w:rsid w:val="05622A95"/>
    <w:rsid w:val="05A34F74"/>
    <w:rsid w:val="05C454AF"/>
    <w:rsid w:val="05C721C2"/>
    <w:rsid w:val="05FA74F3"/>
    <w:rsid w:val="0603356B"/>
    <w:rsid w:val="061B11E8"/>
    <w:rsid w:val="063E20CB"/>
    <w:rsid w:val="06691F53"/>
    <w:rsid w:val="067537F3"/>
    <w:rsid w:val="067B1F30"/>
    <w:rsid w:val="06801C3B"/>
    <w:rsid w:val="06D45E42"/>
    <w:rsid w:val="06E728E4"/>
    <w:rsid w:val="076255AA"/>
    <w:rsid w:val="077559CB"/>
    <w:rsid w:val="07972AF0"/>
    <w:rsid w:val="07986E84"/>
    <w:rsid w:val="07DE62F4"/>
    <w:rsid w:val="07F77E76"/>
    <w:rsid w:val="086C7AD9"/>
    <w:rsid w:val="09095DE2"/>
    <w:rsid w:val="094B7B50"/>
    <w:rsid w:val="094E71DE"/>
    <w:rsid w:val="09A375DC"/>
    <w:rsid w:val="09CA0D6F"/>
    <w:rsid w:val="0A103D74"/>
    <w:rsid w:val="0A35554F"/>
    <w:rsid w:val="0A4557E9"/>
    <w:rsid w:val="0A532CD9"/>
    <w:rsid w:val="0A84735B"/>
    <w:rsid w:val="0B1B1342"/>
    <w:rsid w:val="0B6F40C0"/>
    <w:rsid w:val="0B7578B0"/>
    <w:rsid w:val="0BF11DDD"/>
    <w:rsid w:val="0C587E57"/>
    <w:rsid w:val="0C5D5C14"/>
    <w:rsid w:val="0C9B09D2"/>
    <w:rsid w:val="0CE20369"/>
    <w:rsid w:val="0D226094"/>
    <w:rsid w:val="0D264D22"/>
    <w:rsid w:val="0D3906F7"/>
    <w:rsid w:val="0D502913"/>
    <w:rsid w:val="0D583AF2"/>
    <w:rsid w:val="0D5B1F82"/>
    <w:rsid w:val="0D7413D9"/>
    <w:rsid w:val="0D747239"/>
    <w:rsid w:val="0D7809B5"/>
    <w:rsid w:val="0DCA218E"/>
    <w:rsid w:val="0DCE553E"/>
    <w:rsid w:val="0DD670DC"/>
    <w:rsid w:val="0DF93C9C"/>
    <w:rsid w:val="0EA97F3A"/>
    <w:rsid w:val="0EBB5316"/>
    <w:rsid w:val="0ECD410A"/>
    <w:rsid w:val="0EE428AF"/>
    <w:rsid w:val="0F0767AD"/>
    <w:rsid w:val="0F090F04"/>
    <w:rsid w:val="0F0A3BA7"/>
    <w:rsid w:val="0F0E7940"/>
    <w:rsid w:val="0F4D454A"/>
    <w:rsid w:val="0F5F2C29"/>
    <w:rsid w:val="0F6B5735"/>
    <w:rsid w:val="0F89508C"/>
    <w:rsid w:val="0FA9461A"/>
    <w:rsid w:val="0FB96D88"/>
    <w:rsid w:val="103276C7"/>
    <w:rsid w:val="10416309"/>
    <w:rsid w:val="10572E1C"/>
    <w:rsid w:val="10586726"/>
    <w:rsid w:val="106043C7"/>
    <w:rsid w:val="106E1F77"/>
    <w:rsid w:val="10864EA8"/>
    <w:rsid w:val="10AB097B"/>
    <w:rsid w:val="10C77FA2"/>
    <w:rsid w:val="10DB57FB"/>
    <w:rsid w:val="113B4B95"/>
    <w:rsid w:val="113C634D"/>
    <w:rsid w:val="1168209E"/>
    <w:rsid w:val="11843C4C"/>
    <w:rsid w:val="11875983"/>
    <w:rsid w:val="1198779A"/>
    <w:rsid w:val="11BE722A"/>
    <w:rsid w:val="129E211B"/>
    <w:rsid w:val="12B72AC8"/>
    <w:rsid w:val="12DD77FC"/>
    <w:rsid w:val="12E070F9"/>
    <w:rsid w:val="12FB6C31"/>
    <w:rsid w:val="13220202"/>
    <w:rsid w:val="13375045"/>
    <w:rsid w:val="134C478E"/>
    <w:rsid w:val="13537C55"/>
    <w:rsid w:val="137A351E"/>
    <w:rsid w:val="13B36682"/>
    <w:rsid w:val="13DD6797"/>
    <w:rsid w:val="140F6320"/>
    <w:rsid w:val="142B05E8"/>
    <w:rsid w:val="142B42FC"/>
    <w:rsid w:val="14495172"/>
    <w:rsid w:val="145F0E56"/>
    <w:rsid w:val="14740441"/>
    <w:rsid w:val="147A61A9"/>
    <w:rsid w:val="14BC2267"/>
    <w:rsid w:val="14C744B8"/>
    <w:rsid w:val="14F33AD1"/>
    <w:rsid w:val="14FD6C55"/>
    <w:rsid w:val="15171E3E"/>
    <w:rsid w:val="154D68CC"/>
    <w:rsid w:val="155344FA"/>
    <w:rsid w:val="161377E5"/>
    <w:rsid w:val="16157A01"/>
    <w:rsid w:val="1675224E"/>
    <w:rsid w:val="16857815"/>
    <w:rsid w:val="16971BB4"/>
    <w:rsid w:val="16F70140"/>
    <w:rsid w:val="1701236A"/>
    <w:rsid w:val="17081314"/>
    <w:rsid w:val="17365E81"/>
    <w:rsid w:val="17375756"/>
    <w:rsid w:val="177B5642"/>
    <w:rsid w:val="179901BE"/>
    <w:rsid w:val="179B6919"/>
    <w:rsid w:val="17A440D7"/>
    <w:rsid w:val="17AF6E8C"/>
    <w:rsid w:val="17C81753"/>
    <w:rsid w:val="17DA0076"/>
    <w:rsid w:val="17FC5FA4"/>
    <w:rsid w:val="18351C95"/>
    <w:rsid w:val="18376EC9"/>
    <w:rsid w:val="18380430"/>
    <w:rsid w:val="185815FC"/>
    <w:rsid w:val="185E5150"/>
    <w:rsid w:val="188127C0"/>
    <w:rsid w:val="18D92F68"/>
    <w:rsid w:val="18E90EEB"/>
    <w:rsid w:val="18EC09CB"/>
    <w:rsid w:val="19053D5D"/>
    <w:rsid w:val="19241D0A"/>
    <w:rsid w:val="196A61A4"/>
    <w:rsid w:val="1A251C5F"/>
    <w:rsid w:val="1A4E46BD"/>
    <w:rsid w:val="1AD760B8"/>
    <w:rsid w:val="1AFF8612"/>
    <w:rsid w:val="1B267FBB"/>
    <w:rsid w:val="1B4D19EC"/>
    <w:rsid w:val="1B6D5D2C"/>
    <w:rsid w:val="1B9DDA05"/>
    <w:rsid w:val="1BA36B65"/>
    <w:rsid w:val="1BC64867"/>
    <w:rsid w:val="1BDC4741"/>
    <w:rsid w:val="1BDFFB60"/>
    <w:rsid w:val="1C61254A"/>
    <w:rsid w:val="1C9219A7"/>
    <w:rsid w:val="1CDC4DD5"/>
    <w:rsid w:val="1D166E10"/>
    <w:rsid w:val="1D645145"/>
    <w:rsid w:val="1DA5693B"/>
    <w:rsid w:val="1DBDCE33"/>
    <w:rsid w:val="1DBF509D"/>
    <w:rsid w:val="1DE43A4A"/>
    <w:rsid w:val="1DF041AC"/>
    <w:rsid w:val="1DF554A1"/>
    <w:rsid w:val="1E19738C"/>
    <w:rsid w:val="1E3429EF"/>
    <w:rsid w:val="1E3515AD"/>
    <w:rsid w:val="1E4C5F8A"/>
    <w:rsid w:val="1E4C7947"/>
    <w:rsid w:val="1E7D7293"/>
    <w:rsid w:val="1E8E52A6"/>
    <w:rsid w:val="1E8F353E"/>
    <w:rsid w:val="1EA02D3F"/>
    <w:rsid w:val="1EA71723"/>
    <w:rsid w:val="1ECC71D4"/>
    <w:rsid w:val="1ED85A70"/>
    <w:rsid w:val="1EE11AF8"/>
    <w:rsid w:val="1EF81C6E"/>
    <w:rsid w:val="1F4C5F84"/>
    <w:rsid w:val="1F7074E6"/>
    <w:rsid w:val="1F8B3820"/>
    <w:rsid w:val="1FCD7EB9"/>
    <w:rsid w:val="1FF79BEF"/>
    <w:rsid w:val="20054643"/>
    <w:rsid w:val="20060630"/>
    <w:rsid w:val="20A817E2"/>
    <w:rsid w:val="21112ACF"/>
    <w:rsid w:val="2128505B"/>
    <w:rsid w:val="214204A2"/>
    <w:rsid w:val="21491911"/>
    <w:rsid w:val="214B2529"/>
    <w:rsid w:val="214C7431"/>
    <w:rsid w:val="218872DA"/>
    <w:rsid w:val="21C84950"/>
    <w:rsid w:val="21E13EAA"/>
    <w:rsid w:val="220977E4"/>
    <w:rsid w:val="22292620"/>
    <w:rsid w:val="224772C9"/>
    <w:rsid w:val="224A475C"/>
    <w:rsid w:val="224A53BD"/>
    <w:rsid w:val="224B048B"/>
    <w:rsid w:val="226304E8"/>
    <w:rsid w:val="226E2973"/>
    <w:rsid w:val="22BE6D2B"/>
    <w:rsid w:val="22F80095"/>
    <w:rsid w:val="23045086"/>
    <w:rsid w:val="231F5E60"/>
    <w:rsid w:val="23412C64"/>
    <w:rsid w:val="234704F0"/>
    <w:rsid w:val="239F3278"/>
    <w:rsid w:val="23F01D83"/>
    <w:rsid w:val="23F74F4D"/>
    <w:rsid w:val="23FE1AD5"/>
    <w:rsid w:val="240370EB"/>
    <w:rsid w:val="24577437"/>
    <w:rsid w:val="24C90335"/>
    <w:rsid w:val="24DD5B8E"/>
    <w:rsid w:val="25245D0B"/>
    <w:rsid w:val="25251C80"/>
    <w:rsid w:val="25457FB6"/>
    <w:rsid w:val="254678E7"/>
    <w:rsid w:val="256B4972"/>
    <w:rsid w:val="25F2497C"/>
    <w:rsid w:val="262041E4"/>
    <w:rsid w:val="264520D7"/>
    <w:rsid w:val="270F10C0"/>
    <w:rsid w:val="271B68B7"/>
    <w:rsid w:val="27220E7E"/>
    <w:rsid w:val="27677991"/>
    <w:rsid w:val="276A6D7C"/>
    <w:rsid w:val="27C44DE4"/>
    <w:rsid w:val="27DF2337"/>
    <w:rsid w:val="27FDF627"/>
    <w:rsid w:val="281B331E"/>
    <w:rsid w:val="286310DD"/>
    <w:rsid w:val="28A36AFF"/>
    <w:rsid w:val="28BF3904"/>
    <w:rsid w:val="28D84838"/>
    <w:rsid w:val="28E42C8A"/>
    <w:rsid w:val="28E76FDC"/>
    <w:rsid w:val="294A7612"/>
    <w:rsid w:val="29652B4F"/>
    <w:rsid w:val="29B63ACC"/>
    <w:rsid w:val="29C8521C"/>
    <w:rsid w:val="29FF6BE5"/>
    <w:rsid w:val="2A223DC9"/>
    <w:rsid w:val="2A41096D"/>
    <w:rsid w:val="2AD20F52"/>
    <w:rsid w:val="2AD72131"/>
    <w:rsid w:val="2ADB06FF"/>
    <w:rsid w:val="2AE26622"/>
    <w:rsid w:val="2AFB099B"/>
    <w:rsid w:val="2B0D4CF3"/>
    <w:rsid w:val="2B4D2E1A"/>
    <w:rsid w:val="2B8176F6"/>
    <w:rsid w:val="2B9B5C91"/>
    <w:rsid w:val="2BB12196"/>
    <w:rsid w:val="2BE658CA"/>
    <w:rsid w:val="2BFC708F"/>
    <w:rsid w:val="2C04108A"/>
    <w:rsid w:val="2C071743"/>
    <w:rsid w:val="2C2A4F70"/>
    <w:rsid w:val="2C324A12"/>
    <w:rsid w:val="2C595BB6"/>
    <w:rsid w:val="2C696DF0"/>
    <w:rsid w:val="2C711DEE"/>
    <w:rsid w:val="2C7404A3"/>
    <w:rsid w:val="2C82383B"/>
    <w:rsid w:val="2C934D84"/>
    <w:rsid w:val="2CE41D10"/>
    <w:rsid w:val="2CEFA635"/>
    <w:rsid w:val="2D4349FC"/>
    <w:rsid w:val="2D932CD3"/>
    <w:rsid w:val="2DBDF03D"/>
    <w:rsid w:val="2DC01BA9"/>
    <w:rsid w:val="2DEC4065"/>
    <w:rsid w:val="2E1B14D5"/>
    <w:rsid w:val="2E2C60EA"/>
    <w:rsid w:val="2E66163F"/>
    <w:rsid w:val="2E7E4664"/>
    <w:rsid w:val="2E9077CD"/>
    <w:rsid w:val="2EB31914"/>
    <w:rsid w:val="2EBF620F"/>
    <w:rsid w:val="2EEF770D"/>
    <w:rsid w:val="2F094A54"/>
    <w:rsid w:val="2F170641"/>
    <w:rsid w:val="2F215CBE"/>
    <w:rsid w:val="2F33D08D"/>
    <w:rsid w:val="2F350375"/>
    <w:rsid w:val="2F4D40BF"/>
    <w:rsid w:val="2FBF4562"/>
    <w:rsid w:val="2FCB90F6"/>
    <w:rsid w:val="2FDF6A5C"/>
    <w:rsid w:val="2FFEA1FE"/>
    <w:rsid w:val="2FFF2E0C"/>
    <w:rsid w:val="302A6BE3"/>
    <w:rsid w:val="303F0333"/>
    <w:rsid w:val="304964F8"/>
    <w:rsid w:val="305D1F84"/>
    <w:rsid w:val="307731BD"/>
    <w:rsid w:val="308333A6"/>
    <w:rsid w:val="308E296C"/>
    <w:rsid w:val="309E19D2"/>
    <w:rsid w:val="30A36FF1"/>
    <w:rsid w:val="30F50A08"/>
    <w:rsid w:val="30FC3F6A"/>
    <w:rsid w:val="31287012"/>
    <w:rsid w:val="313F372D"/>
    <w:rsid w:val="3179279B"/>
    <w:rsid w:val="31983D76"/>
    <w:rsid w:val="31A078C7"/>
    <w:rsid w:val="31CD68F9"/>
    <w:rsid w:val="31FC4CAA"/>
    <w:rsid w:val="31FFEF2D"/>
    <w:rsid w:val="323112C7"/>
    <w:rsid w:val="3231F430"/>
    <w:rsid w:val="32906989"/>
    <w:rsid w:val="32E12E85"/>
    <w:rsid w:val="32E92343"/>
    <w:rsid w:val="32EB7835"/>
    <w:rsid w:val="331F4B5B"/>
    <w:rsid w:val="335C6818"/>
    <w:rsid w:val="335E1555"/>
    <w:rsid w:val="337D49F2"/>
    <w:rsid w:val="338573FF"/>
    <w:rsid w:val="33B70B19"/>
    <w:rsid w:val="33D16D49"/>
    <w:rsid w:val="34423D59"/>
    <w:rsid w:val="344F5D97"/>
    <w:rsid w:val="34853536"/>
    <w:rsid w:val="34BFF743"/>
    <w:rsid w:val="34EA39B0"/>
    <w:rsid w:val="354603DD"/>
    <w:rsid w:val="355E6877"/>
    <w:rsid w:val="3566592B"/>
    <w:rsid w:val="35683252"/>
    <w:rsid w:val="357C3ACE"/>
    <w:rsid w:val="357E6FD1"/>
    <w:rsid w:val="35DDAC22"/>
    <w:rsid w:val="35E5211F"/>
    <w:rsid w:val="35F2731C"/>
    <w:rsid w:val="35F95DC6"/>
    <w:rsid w:val="35FB75C6"/>
    <w:rsid w:val="365616D0"/>
    <w:rsid w:val="365E339E"/>
    <w:rsid w:val="366A55B5"/>
    <w:rsid w:val="369F9521"/>
    <w:rsid w:val="36AA33F6"/>
    <w:rsid w:val="36CB4A75"/>
    <w:rsid w:val="36D72FB5"/>
    <w:rsid w:val="37052D23"/>
    <w:rsid w:val="3727713D"/>
    <w:rsid w:val="374A66EF"/>
    <w:rsid w:val="376535EE"/>
    <w:rsid w:val="3775B9DB"/>
    <w:rsid w:val="378A5DAD"/>
    <w:rsid w:val="37A437C5"/>
    <w:rsid w:val="37B02769"/>
    <w:rsid w:val="37CBBCE7"/>
    <w:rsid w:val="37E07AAF"/>
    <w:rsid w:val="37E74070"/>
    <w:rsid w:val="37EBD886"/>
    <w:rsid w:val="37FFB0C5"/>
    <w:rsid w:val="382C33B7"/>
    <w:rsid w:val="38507FCD"/>
    <w:rsid w:val="385E6107"/>
    <w:rsid w:val="389C6EEF"/>
    <w:rsid w:val="38BA51F5"/>
    <w:rsid w:val="38FD75A6"/>
    <w:rsid w:val="39023533"/>
    <w:rsid w:val="3923417F"/>
    <w:rsid w:val="39534219"/>
    <w:rsid w:val="39726B95"/>
    <w:rsid w:val="3984187D"/>
    <w:rsid w:val="39B5458C"/>
    <w:rsid w:val="39D3134E"/>
    <w:rsid w:val="3A26326A"/>
    <w:rsid w:val="3A335D0B"/>
    <w:rsid w:val="3A81394C"/>
    <w:rsid w:val="3AB605BC"/>
    <w:rsid w:val="3AD1108C"/>
    <w:rsid w:val="3AFF2983"/>
    <w:rsid w:val="3B2D45F6"/>
    <w:rsid w:val="3B4061DA"/>
    <w:rsid w:val="3B5570E7"/>
    <w:rsid w:val="3B7D3624"/>
    <w:rsid w:val="3BB77E66"/>
    <w:rsid w:val="3BB93A0B"/>
    <w:rsid w:val="3BC92C29"/>
    <w:rsid w:val="3BCFE79D"/>
    <w:rsid w:val="3BEE5D72"/>
    <w:rsid w:val="3BFDFE29"/>
    <w:rsid w:val="3C237ED3"/>
    <w:rsid w:val="3C460065"/>
    <w:rsid w:val="3C4873EA"/>
    <w:rsid w:val="3C7EC525"/>
    <w:rsid w:val="3C9F0383"/>
    <w:rsid w:val="3CA8770A"/>
    <w:rsid w:val="3CCB3DD7"/>
    <w:rsid w:val="3CF257A2"/>
    <w:rsid w:val="3CF74EBC"/>
    <w:rsid w:val="3CF96FCE"/>
    <w:rsid w:val="3D081300"/>
    <w:rsid w:val="3D1DDFA0"/>
    <w:rsid w:val="3D325ED6"/>
    <w:rsid w:val="3D3AED6A"/>
    <w:rsid w:val="3D3B2FFA"/>
    <w:rsid w:val="3D3FD00F"/>
    <w:rsid w:val="3D4A2A1A"/>
    <w:rsid w:val="3D5368B6"/>
    <w:rsid w:val="3D6F6A0F"/>
    <w:rsid w:val="3D9702B8"/>
    <w:rsid w:val="3DB82D54"/>
    <w:rsid w:val="3DFCE44A"/>
    <w:rsid w:val="3DFF7E01"/>
    <w:rsid w:val="3E35213F"/>
    <w:rsid w:val="3E506F79"/>
    <w:rsid w:val="3EBF53A8"/>
    <w:rsid w:val="3ECF0B0D"/>
    <w:rsid w:val="3EE65CBF"/>
    <w:rsid w:val="3EF37553"/>
    <w:rsid w:val="3F141D55"/>
    <w:rsid w:val="3F1811AF"/>
    <w:rsid w:val="3F1F1738"/>
    <w:rsid w:val="3F4028FA"/>
    <w:rsid w:val="3F7B36FE"/>
    <w:rsid w:val="3F9309E2"/>
    <w:rsid w:val="3FAC6E2A"/>
    <w:rsid w:val="3FB70F73"/>
    <w:rsid w:val="3FB92318"/>
    <w:rsid w:val="3FBC0E23"/>
    <w:rsid w:val="3FDA135D"/>
    <w:rsid w:val="3FDA30B6"/>
    <w:rsid w:val="3FEF03B2"/>
    <w:rsid w:val="3FFE9573"/>
    <w:rsid w:val="404B0756"/>
    <w:rsid w:val="40703903"/>
    <w:rsid w:val="408829FA"/>
    <w:rsid w:val="40B52A37"/>
    <w:rsid w:val="40CB198B"/>
    <w:rsid w:val="40F22F2D"/>
    <w:rsid w:val="412A3AB2"/>
    <w:rsid w:val="41321107"/>
    <w:rsid w:val="41447CEE"/>
    <w:rsid w:val="4154736A"/>
    <w:rsid w:val="415D20E1"/>
    <w:rsid w:val="416F4BCC"/>
    <w:rsid w:val="41785FF0"/>
    <w:rsid w:val="41CD2616"/>
    <w:rsid w:val="41F8770C"/>
    <w:rsid w:val="4228557F"/>
    <w:rsid w:val="422E312E"/>
    <w:rsid w:val="423170C2"/>
    <w:rsid w:val="424E1A22"/>
    <w:rsid w:val="425930E7"/>
    <w:rsid w:val="425A6618"/>
    <w:rsid w:val="42624538"/>
    <w:rsid w:val="429A2975"/>
    <w:rsid w:val="42B32F81"/>
    <w:rsid w:val="42DC0DDB"/>
    <w:rsid w:val="42EB101F"/>
    <w:rsid w:val="42EE35DB"/>
    <w:rsid w:val="434A70DC"/>
    <w:rsid w:val="43A14703"/>
    <w:rsid w:val="43CB5548"/>
    <w:rsid w:val="43CD4BC8"/>
    <w:rsid w:val="43CF0940"/>
    <w:rsid w:val="43E95AA6"/>
    <w:rsid w:val="440336B0"/>
    <w:rsid w:val="441D5B50"/>
    <w:rsid w:val="44354C47"/>
    <w:rsid w:val="4469669F"/>
    <w:rsid w:val="446C15B0"/>
    <w:rsid w:val="44DC9308"/>
    <w:rsid w:val="451C0807"/>
    <w:rsid w:val="453273D9"/>
    <w:rsid w:val="454F1D9E"/>
    <w:rsid w:val="455C5158"/>
    <w:rsid w:val="45653444"/>
    <w:rsid w:val="456923D6"/>
    <w:rsid w:val="45A1650C"/>
    <w:rsid w:val="45B1582B"/>
    <w:rsid w:val="45C51FFB"/>
    <w:rsid w:val="45CA511C"/>
    <w:rsid w:val="45DFE29E"/>
    <w:rsid w:val="45EA1019"/>
    <w:rsid w:val="45F4468E"/>
    <w:rsid w:val="45F94EA0"/>
    <w:rsid w:val="4609767D"/>
    <w:rsid w:val="463704AA"/>
    <w:rsid w:val="464A0752"/>
    <w:rsid w:val="468679DC"/>
    <w:rsid w:val="46B12EFB"/>
    <w:rsid w:val="46BD7176"/>
    <w:rsid w:val="46D773BA"/>
    <w:rsid w:val="46E87F82"/>
    <w:rsid w:val="47092FC8"/>
    <w:rsid w:val="475E1C2E"/>
    <w:rsid w:val="477B6FED"/>
    <w:rsid w:val="47831931"/>
    <w:rsid w:val="47CF02E9"/>
    <w:rsid w:val="47DE1152"/>
    <w:rsid w:val="480133EB"/>
    <w:rsid w:val="481C0CDA"/>
    <w:rsid w:val="48515349"/>
    <w:rsid w:val="486C662A"/>
    <w:rsid w:val="489A2096"/>
    <w:rsid w:val="48FF0E6E"/>
    <w:rsid w:val="495A3BE4"/>
    <w:rsid w:val="49DE18DD"/>
    <w:rsid w:val="4A3C51B1"/>
    <w:rsid w:val="4AA27D8E"/>
    <w:rsid w:val="4AAF6A94"/>
    <w:rsid w:val="4AB03279"/>
    <w:rsid w:val="4AD43B9C"/>
    <w:rsid w:val="4AEC627C"/>
    <w:rsid w:val="4B102092"/>
    <w:rsid w:val="4B191471"/>
    <w:rsid w:val="4B2303A5"/>
    <w:rsid w:val="4B2E419E"/>
    <w:rsid w:val="4B342BDA"/>
    <w:rsid w:val="4B7C0820"/>
    <w:rsid w:val="4BAF1783"/>
    <w:rsid w:val="4BBF2155"/>
    <w:rsid w:val="4BC24430"/>
    <w:rsid w:val="4BFFB1B5"/>
    <w:rsid w:val="4C1762A5"/>
    <w:rsid w:val="4C4A325A"/>
    <w:rsid w:val="4C4E2CBD"/>
    <w:rsid w:val="4C602A7D"/>
    <w:rsid w:val="4C7E1155"/>
    <w:rsid w:val="4CA7245A"/>
    <w:rsid w:val="4CAA1F4A"/>
    <w:rsid w:val="4CD867E5"/>
    <w:rsid w:val="4CF83308"/>
    <w:rsid w:val="4D072999"/>
    <w:rsid w:val="4D3D2DBF"/>
    <w:rsid w:val="4D5D23FE"/>
    <w:rsid w:val="4D6248E4"/>
    <w:rsid w:val="4D6507F6"/>
    <w:rsid w:val="4D6843E1"/>
    <w:rsid w:val="4D6F752D"/>
    <w:rsid w:val="4D74090A"/>
    <w:rsid w:val="4E0C3F18"/>
    <w:rsid w:val="4E1D1D5A"/>
    <w:rsid w:val="4E401BD4"/>
    <w:rsid w:val="4E9C5D85"/>
    <w:rsid w:val="4ED513E2"/>
    <w:rsid w:val="4EED6F8E"/>
    <w:rsid w:val="4EF25D67"/>
    <w:rsid w:val="4F004B09"/>
    <w:rsid w:val="4F290E6D"/>
    <w:rsid w:val="4F594389"/>
    <w:rsid w:val="4F7504F2"/>
    <w:rsid w:val="4F9C1E22"/>
    <w:rsid w:val="4FCE7CFE"/>
    <w:rsid w:val="4FD777DD"/>
    <w:rsid w:val="4FF359B6"/>
    <w:rsid w:val="4FFF85E5"/>
    <w:rsid w:val="50113369"/>
    <w:rsid w:val="506C277D"/>
    <w:rsid w:val="506D655D"/>
    <w:rsid w:val="50BA5154"/>
    <w:rsid w:val="50D61560"/>
    <w:rsid w:val="50F934A0"/>
    <w:rsid w:val="51035143"/>
    <w:rsid w:val="512D063D"/>
    <w:rsid w:val="51627812"/>
    <w:rsid w:val="51631E96"/>
    <w:rsid w:val="517D16C1"/>
    <w:rsid w:val="51AB69E7"/>
    <w:rsid w:val="51C66DB0"/>
    <w:rsid w:val="51C92E73"/>
    <w:rsid w:val="520D7203"/>
    <w:rsid w:val="52A13914"/>
    <w:rsid w:val="52DA15FD"/>
    <w:rsid w:val="52DF30A5"/>
    <w:rsid w:val="52EC0378"/>
    <w:rsid w:val="52EE341E"/>
    <w:rsid w:val="532C190B"/>
    <w:rsid w:val="53362C11"/>
    <w:rsid w:val="534F73A8"/>
    <w:rsid w:val="5355684F"/>
    <w:rsid w:val="539102EE"/>
    <w:rsid w:val="53955D95"/>
    <w:rsid w:val="53C77F81"/>
    <w:rsid w:val="53E2021C"/>
    <w:rsid w:val="53EC50B1"/>
    <w:rsid w:val="54084AF8"/>
    <w:rsid w:val="54196F7E"/>
    <w:rsid w:val="54240AF7"/>
    <w:rsid w:val="542707D7"/>
    <w:rsid w:val="544B3BC9"/>
    <w:rsid w:val="5472645C"/>
    <w:rsid w:val="54B23402"/>
    <w:rsid w:val="54B5356A"/>
    <w:rsid w:val="54CB448A"/>
    <w:rsid w:val="55142657"/>
    <w:rsid w:val="55222FC6"/>
    <w:rsid w:val="55534008"/>
    <w:rsid w:val="55717AA9"/>
    <w:rsid w:val="55FB445A"/>
    <w:rsid w:val="561145BF"/>
    <w:rsid w:val="565A5BDA"/>
    <w:rsid w:val="566F8333"/>
    <w:rsid w:val="56897BBC"/>
    <w:rsid w:val="569A4DDE"/>
    <w:rsid w:val="56BF618D"/>
    <w:rsid w:val="56C47AE4"/>
    <w:rsid w:val="56CF0635"/>
    <w:rsid w:val="570111AC"/>
    <w:rsid w:val="57190809"/>
    <w:rsid w:val="57340D8E"/>
    <w:rsid w:val="57783371"/>
    <w:rsid w:val="578C1931"/>
    <w:rsid w:val="57912031"/>
    <w:rsid w:val="57A64640"/>
    <w:rsid w:val="57BB9537"/>
    <w:rsid w:val="57F98262"/>
    <w:rsid w:val="5817383D"/>
    <w:rsid w:val="58272BFF"/>
    <w:rsid w:val="5830463D"/>
    <w:rsid w:val="58591F7E"/>
    <w:rsid w:val="588D6F55"/>
    <w:rsid w:val="589C308F"/>
    <w:rsid w:val="589F34AA"/>
    <w:rsid w:val="58D5034F"/>
    <w:rsid w:val="58FA01D2"/>
    <w:rsid w:val="58FF39D6"/>
    <w:rsid w:val="59521E81"/>
    <w:rsid w:val="5965035D"/>
    <w:rsid w:val="5972C91E"/>
    <w:rsid w:val="59F790CF"/>
    <w:rsid w:val="5A4877A6"/>
    <w:rsid w:val="5A832DAE"/>
    <w:rsid w:val="5AA22127"/>
    <w:rsid w:val="5AA734EC"/>
    <w:rsid w:val="5ABFF987"/>
    <w:rsid w:val="5ADA1AA6"/>
    <w:rsid w:val="5AF3452E"/>
    <w:rsid w:val="5B134F45"/>
    <w:rsid w:val="5B351579"/>
    <w:rsid w:val="5B5E2788"/>
    <w:rsid w:val="5B6FE4DD"/>
    <w:rsid w:val="5B797345"/>
    <w:rsid w:val="5B7F30E7"/>
    <w:rsid w:val="5B8A3673"/>
    <w:rsid w:val="5BC30D7D"/>
    <w:rsid w:val="5BDA2CB4"/>
    <w:rsid w:val="5BDBD93B"/>
    <w:rsid w:val="5BDD7132"/>
    <w:rsid w:val="5C8E0F41"/>
    <w:rsid w:val="5CD57711"/>
    <w:rsid w:val="5CEFE693"/>
    <w:rsid w:val="5CF56F3A"/>
    <w:rsid w:val="5D445AA3"/>
    <w:rsid w:val="5D5226A6"/>
    <w:rsid w:val="5D52343E"/>
    <w:rsid w:val="5D6077D5"/>
    <w:rsid w:val="5D72616D"/>
    <w:rsid w:val="5D943303"/>
    <w:rsid w:val="5DAC403A"/>
    <w:rsid w:val="5DBEE687"/>
    <w:rsid w:val="5DF3B27E"/>
    <w:rsid w:val="5DF530C0"/>
    <w:rsid w:val="5DF71122"/>
    <w:rsid w:val="5DFD0FED"/>
    <w:rsid w:val="5DFF6FD2"/>
    <w:rsid w:val="5E272FBE"/>
    <w:rsid w:val="5E3F8313"/>
    <w:rsid w:val="5E506AA9"/>
    <w:rsid w:val="5E53354E"/>
    <w:rsid w:val="5E6FA207"/>
    <w:rsid w:val="5E853305"/>
    <w:rsid w:val="5EB54DC5"/>
    <w:rsid w:val="5EB635F2"/>
    <w:rsid w:val="5EDD2E98"/>
    <w:rsid w:val="5EE7C125"/>
    <w:rsid w:val="5EFFBBD0"/>
    <w:rsid w:val="5F4F6C69"/>
    <w:rsid w:val="5F74330A"/>
    <w:rsid w:val="5F777E9A"/>
    <w:rsid w:val="5F983BE5"/>
    <w:rsid w:val="5FB17ABC"/>
    <w:rsid w:val="5FC627A0"/>
    <w:rsid w:val="5FDF4524"/>
    <w:rsid w:val="5FE33390"/>
    <w:rsid w:val="5FE5C18D"/>
    <w:rsid w:val="5FFDE964"/>
    <w:rsid w:val="5FFFFB2D"/>
    <w:rsid w:val="60161979"/>
    <w:rsid w:val="603B68F4"/>
    <w:rsid w:val="609F3113"/>
    <w:rsid w:val="60AB318B"/>
    <w:rsid w:val="60DE0679"/>
    <w:rsid w:val="60EE18C7"/>
    <w:rsid w:val="60F54C28"/>
    <w:rsid w:val="613227E3"/>
    <w:rsid w:val="618D10F8"/>
    <w:rsid w:val="61B6D07D"/>
    <w:rsid w:val="61D26A9F"/>
    <w:rsid w:val="6204625D"/>
    <w:rsid w:val="620F6680"/>
    <w:rsid w:val="622765CB"/>
    <w:rsid w:val="624A259A"/>
    <w:rsid w:val="62764FF6"/>
    <w:rsid w:val="62CE5926"/>
    <w:rsid w:val="62DA4EE0"/>
    <w:rsid w:val="631C2DE9"/>
    <w:rsid w:val="632374D7"/>
    <w:rsid w:val="635D0F71"/>
    <w:rsid w:val="6377613F"/>
    <w:rsid w:val="637D4AFA"/>
    <w:rsid w:val="639E277B"/>
    <w:rsid w:val="63B74933"/>
    <w:rsid w:val="63BEEBFC"/>
    <w:rsid w:val="6415685A"/>
    <w:rsid w:val="6441217E"/>
    <w:rsid w:val="644E4B1D"/>
    <w:rsid w:val="646C40CD"/>
    <w:rsid w:val="647149C2"/>
    <w:rsid w:val="65024885"/>
    <w:rsid w:val="654368AB"/>
    <w:rsid w:val="65632644"/>
    <w:rsid w:val="656F1069"/>
    <w:rsid w:val="659506B8"/>
    <w:rsid w:val="65AE49C2"/>
    <w:rsid w:val="65CE6852"/>
    <w:rsid w:val="65ED7962"/>
    <w:rsid w:val="65EF7504"/>
    <w:rsid w:val="661311B8"/>
    <w:rsid w:val="663B2A5C"/>
    <w:rsid w:val="663D7BCC"/>
    <w:rsid w:val="66644AC0"/>
    <w:rsid w:val="667322A4"/>
    <w:rsid w:val="66996E60"/>
    <w:rsid w:val="669B59E7"/>
    <w:rsid w:val="669C06FE"/>
    <w:rsid w:val="66C71D2E"/>
    <w:rsid w:val="66F45E44"/>
    <w:rsid w:val="66F928BE"/>
    <w:rsid w:val="67432986"/>
    <w:rsid w:val="6750098D"/>
    <w:rsid w:val="67890B56"/>
    <w:rsid w:val="67980EC5"/>
    <w:rsid w:val="67C972D1"/>
    <w:rsid w:val="67CE0D8B"/>
    <w:rsid w:val="67DFCD3F"/>
    <w:rsid w:val="67FA1B80"/>
    <w:rsid w:val="680A552A"/>
    <w:rsid w:val="68212C69"/>
    <w:rsid w:val="688B0A2A"/>
    <w:rsid w:val="68E51EE8"/>
    <w:rsid w:val="68F575B0"/>
    <w:rsid w:val="6902787A"/>
    <w:rsid w:val="69623052"/>
    <w:rsid w:val="696F59F5"/>
    <w:rsid w:val="697423ED"/>
    <w:rsid w:val="69BA5584"/>
    <w:rsid w:val="6A5072A0"/>
    <w:rsid w:val="6A724469"/>
    <w:rsid w:val="6AD42215"/>
    <w:rsid w:val="6ADD0B5E"/>
    <w:rsid w:val="6AFEFEF6"/>
    <w:rsid w:val="6AFF3CEA"/>
    <w:rsid w:val="6B3453A9"/>
    <w:rsid w:val="6B3D425E"/>
    <w:rsid w:val="6B5E3C13"/>
    <w:rsid w:val="6B63796E"/>
    <w:rsid w:val="6B79100E"/>
    <w:rsid w:val="6B80560E"/>
    <w:rsid w:val="6B896799"/>
    <w:rsid w:val="6B8E6784"/>
    <w:rsid w:val="6B917708"/>
    <w:rsid w:val="6BACDDD9"/>
    <w:rsid w:val="6BBE2520"/>
    <w:rsid w:val="6C24541E"/>
    <w:rsid w:val="6C281BAC"/>
    <w:rsid w:val="6C5E57D7"/>
    <w:rsid w:val="6C6A598C"/>
    <w:rsid w:val="6CB15E98"/>
    <w:rsid w:val="6CD33564"/>
    <w:rsid w:val="6CD79D2B"/>
    <w:rsid w:val="6CD937EE"/>
    <w:rsid w:val="6CEFA506"/>
    <w:rsid w:val="6CFFF8BD"/>
    <w:rsid w:val="6D0B213A"/>
    <w:rsid w:val="6D207206"/>
    <w:rsid w:val="6D3E77F4"/>
    <w:rsid w:val="6D6C542D"/>
    <w:rsid w:val="6D6C6E68"/>
    <w:rsid w:val="6D727A9F"/>
    <w:rsid w:val="6D94212F"/>
    <w:rsid w:val="6D9A422B"/>
    <w:rsid w:val="6DD808C7"/>
    <w:rsid w:val="6DE45640"/>
    <w:rsid w:val="6DF7578F"/>
    <w:rsid w:val="6DFB7FEB"/>
    <w:rsid w:val="6E0A345A"/>
    <w:rsid w:val="6E337CDC"/>
    <w:rsid w:val="6E763D95"/>
    <w:rsid w:val="6EBB1B06"/>
    <w:rsid w:val="6ECB73AA"/>
    <w:rsid w:val="6EF673A3"/>
    <w:rsid w:val="6EFBEE19"/>
    <w:rsid w:val="6F103A37"/>
    <w:rsid w:val="6F1F19DF"/>
    <w:rsid w:val="6F37C55D"/>
    <w:rsid w:val="6F402F96"/>
    <w:rsid w:val="6F4639FF"/>
    <w:rsid w:val="6F5FD9E2"/>
    <w:rsid w:val="6F712728"/>
    <w:rsid w:val="6FA652D6"/>
    <w:rsid w:val="6FB71EFC"/>
    <w:rsid w:val="6FB82B6C"/>
    <w:rsid w:val="6FBF48DE"/>
    <w:rsid w:val="6FE02EE4"/>
    <w:rsid w:val="6FFA1D0E"/>
    <w:rsid w:val="6FFCF3B6"/>
    <w:rsid w:val="6FFF98CE"/>
    <w:rsid w:val="6FFFEFCB"/>
    <w:rsid w:val="6FFFFD1E"/>
    <w:rsid w:val="702365AD"/>
    <w:rsid w:val="702C2015"/>
    <w:rsid w:val="70582E9C"/>
    <w:rsid w:val="70634744"/>
    <w:rsid w:val="706559AA"/>
    <w:rsid w:val="70973B4F"/>
    <w:rsid w:val="70987C05"/>
    <w:rsid w:val="70A46B2D"/>
    <w:rsid w:val="70E15ACF"/>
    <w:rsid w:val="70F05D9B"/>
    <w:rsid w:val="70F45858"/>
    <w:rsid w:val="713A694F"/>
    <w:rsid w:val="71682D1A"/>
    <w:rsid w:val="716C6E88"/>
    <w:rsid w:val="716D3CED"/>
    <w:rsid w:val="71A952E7"/>
    <w:rsid w:val="71BF32C0"/>
    <w:rsid w:val="71C960C8"/>
    <w:rsid w:val="71E74F23"/>
    <w:rsid w:val="71F47640"/>
    <w:rsid w:val="720930EC"/>
    <w:rsid w:val="72104BEC"/>
    <w:rsid w:val="722142B5"/>
    <w:rsid w:val="723820F1"/>
    <w:rsid w:val="723932A5"/>
    <w:rsid w:val="72566D45"/>
    <w:rsid w:val="72651315"/>
    <w:rsid w:val="7266063B"/>
    <w:rsid w:val="726767CB"/>
    <w:rsid w:val="72A83CCB"/>
    <w:rsid w:val="72D75340"/>
    <w:rsid w:val="72F21DD2"/>
    <w:rsid w:val="730F0E54"/>
    <w:rsid w:val="732469F1"/>
    <w:rsid w:val="73827BCF"/>
    <w:rsid w:val="73BFAB38"/>
    <w:rsid w:val="73EEB492"/>
    <w:rsid w:val="743D4824"/>
    <w:rsid w:val="74645103"/>
    <w:rsid w:val="74A32A14"/>
    <w:rsid w:val="74FFCB46"/>
    <w:rsid w:val="7564688B"/>
    <w:rsid w:val="757B1903"/>
    <w:rsid w:val="75BA690B"/>
    <w:rsid w:val="75BD2428"/>
    <w:rsid w:val="75C03CA6"/>
    <w:rsid w:val="75DD967D"/>
    <w:rsid w:val="75F272BE"/>
    <w:rsid w:val="75FB7F71"/>
    <w:rsid w:val="762069C6"/>
    <w:rsid w:val="764741E2"/>
    <w:rsid w:val="76500BBD"/>
    <w:rsid w:val="76692A59"/>
    <w:rsid w:val="766A1C7F"/>
    <w:rsid w:val="767F42A1"/>
    <w:rsid w:val="7699FC05"/>
    <w:rsid w:val="76A709C7"/>
    <w:rsid w:val="76D790A0"/>
    <w:rsid w:val="76DF7A2C"/>
    <w:rsid w:val="76F3157E"/>
    <w:rsid w:val="77131F68"/>
    <w:rsid w:val="771B1194"/>
    <w:rsid w:val="772269FE"/>
    <w:rsid w:val="77440722"/>
    <w:rsid w:val="7747F111"/>
    <w:rsid w:val="77676871"/>
    <w:rsid w:val="77926E10"/>
    <w:rsid w:val="77985A45"/>
    <w:rsid w:val="779C055E"/>
    <w:rsid w:val="77A95B85"/>
    <w:rsid w:val="77B51F35"/>
    <w:rsid w:val="77C5780E"/>
    <w:rsid w:val="77D4E6D6"/>
    <w:rsid w:val="77F3EFC6"/>
    <w:rsid w:val="77F428DB"/>
    <w:rsid w:val="77F5F98B"/>
    <w:rsid w:val="77FBEA39"/>
    <w:rsid w:val="77FF4F5F"/>
    <w:rsid w:val="78397B5B"/>
    <w:rsid w:val="783D3446"/>
    <w:rsid w:val="784C7E90"/>
    <w:rsid w:val="7869528D"/>
    <w:rsid w:val="7877193B"/>
    <w:rsid w:val="7879089F"/>
    <w:rsid w:val="78C96D99"/>
    <w:rsid w:val="78D66EE4"/>
    <w:rsid w:val="78DB5CCE"/>
    <w:rsid w:val="78E55F35"/>
    <w:rsid w:val="7916ED90"/>
    <w:rsid w:val="79322EE8"/>
    <w:rsid w:val="793B3C61"/>
    <w:rsid w:val="797703C6"/>
    <w:rsid w:val="79933281"/>
    <w:rsid w:val="799574B4"/>
    <w:rsid w:val="79C124FE"/>
    <w:rsid w:val="79C14961"/>
    <w:rsid w:val="79D33FDF"/>
    <w:rsid w:val="79E70C9B"/>
    <w:rsid w:val="79FA0258"/>
    <w:rsid w:val="79FF2723"/>
    <w:rsid w:val="7A1D7243"/>
    <w:rsid w:val="7A3F6C1D"/>
    <w:rsid w:val="7A4B626B"/>
    <w:rsid w:val="7AA02113"/>
    <w:rsid w:val="7ABF7CCE"/>
    <w:rsid w:val="7AEF5CA0"/>
    <w:rsid w:val="7AFEF8D1"/>
    <w:rsid w:val="7B25464D"/>
    <w:rsid w:val="7B5FE91C"/>
    <w:rsid w:val="7B67625C"/>
    <w:rsid w:val="7B6F12F8"/>
    <w:rsid w:val="7B892774"/>
    <w:rsid w:val="7BAB5214"/>
    <w:rsid w:val="7BAD9EF9"/>
    <w:rsid w:val="7BB7990E"/>
    <w:rsid w:val="7BBBD333"/>
    <w:rsid w:val="7BBC26CE"/>
    <w:rsid w:val="7BEB311A"/>
    <w:rsid w:val="7BEE4D2E"/>
    <w:rsid w:val="7BEE62DE"/>
    <w:rsid w:val="7BF7011D"/>
    <w:rsid w:val="7BFE9B3F"/>
    <w:rsid w:val="7C0901A3"/>
    <w:rsid w:val="7C0C5A72"/>
    <w:rsid w:val="7C4C347A"/>
    <w:rsid w:val="7C7D4AF3"/>
    <w:rsid w:val="7C9BA948"/>
    <w:rsid w:val="7CB63E70"/>
    <w:rsid w:val="7CD12A58"/>
    <w:rsid w:val="7CF83BBA"/>
    <w:rsid w:val="7CF90201"/>
    <w:rsid w:val="7D00036C"/>
    <w:rsid w:val="7D0D38A3"/>
    <w:rsid w:val="7D23430F"/>
    <w:rsid w:val="7D4274B2"/>
    <w:rsid w:val="7D5775CA"/>
    <w:rsid w:val="7D596C79"/>
    <w:rsid w:val="7D5B67C5"/>
    <w:rsid w:val="7D7E081C"/>
    <w:rsid w:val="7D9B4421"/>
    <w:rsid w:val="7D9D0B8C"/>
    <w:rsid w:val="7DBF0B02"/>
    <w:rsid w:val="7DCE646E"/>
    <w:rsid w:val="7DCFC406"/>
    <w:rsid w:val="7DDD30F9"/>
    <w:rsid w:val="7DE815AB"/>
    <w:rsid w:val="7DF17869"/>
    <w:rsid w:val="7DFBF1B0"/>
    <w:rsid w:val="7DFF4CD1"/>
    <w:rsid w:val="7E06136E"/>
    <w:rsid w:val="7E22507B"/>
    <w:rsid w:val="7E61603B"/>
    <w:rsid w:val="7E7B31DC"/>
    <w:rsid w:val="7E871537"/>
    <w:rsid w:val="7E9784D3"/>
    <w:rsid w:val="7EA128FE"/>
    <w:rsid w:val="7EC311EB"/>
    <w:rsid w:val="7EDB42C0"/>
    <w:rsid w:val="7EDDE651"/>
    <w:rsid w:val="7EEEE1B7"/>
    <w:rsid w:val="7EF59998"/>
    <w:rsid w:val="7EFF3E49"/>
    <w:rsid w:val="7F0B0377"/>
    <w:rsid w:val="7F3D1530"/>
    <w:rsid w:val="7F477001"/>
    <w:rsid w:val="7F4E1F44"/>
    <w:rsid w:val="7F5DB89D"/>
    <w:rsid w:val="7F77AF14"/>
    <w:rsid w:val="7F7F23B0"/>
    <w:rsid w:val="7F9636AD"/>
    <w:rsid w:val="7F99305C"/>
    <w:rsid w:val="7F9FBF75"/>
    <w:rsid w:val="7FA371A5"/>
    <w:rsid w:val="7FB34697"/>
    <w:rsid w:val="7FB43FA4"/>
    <w:rsid w:val="7FB531D0"/>
    <w:rsid w:val="7FB76322"/>
    <w:rsid w:val="7FB83A5B"/>
    <w:rsid w:val="7FB87DEC"/>
    <w:rsid w:val="7FBF275B"/>
    <w:rsid w:val="7FBFBFC9"/>
    <w:rsid w:val="7FCF2CBA"/>
    <w:rsid w:val="7FDB0692"/>
    <w:rsid w:val="7FDB70E6"/>
    <w:rsid w:val="7FDF5723"/>
    <w:rsid w:val="7FE3BAD4"/>
    <w:rsid w:val="7FEE5D37"/>
    <w:rsid w:val="7FEE63AF"/>
    <w:rsid w:val="7FF3577B"/>
    <w:rsid w:val="7FF40F21"/>
    <w:rsid w:val="7FF79AAB"/>
    <w:rsid w:val="7FF9D46F"/>
    <w:rsid w:val="7FFA1512"/>
    <w:rsid w:val="7FFB65A4"/>
    <w:rsid w:val="7FFB8009"/>
    <w:rsid w:val="7FFCDC4C"/>
    <w:rsid w:val="7FFDB556"/>
    <w:rsid w:val="7FFDCF95"/>
    <w:rsid w:val="7FFFCA3A"/>
    <w:rsid w:val="7FFFE200"/>
    <w:rsid w:val="83BE3495"/>
    <w:rsid w:val="8BCB0EDB"/>
    <w:rsid w:val="8FDDE793"/>
    <w:rsid w:val="97FBD7F5"/>
    <w:rsid w:val="9BA77D7D"/>
    <w:rsid w:val="9CEDA57E"/>
    <w:rsid w:val="9D3F53AB"/>
    <w:rsid w:val="9D4B0148"/>
    <w:rsid w:val="9D4B3C71"/>
    <w:rsid w:val="9F7FA7BA"/>
    <w:rsid w:val="9FCDFC18"/>
    <w:rsid w:val="9FEF2B12"/>
    <w:rsid w:val="9FFD7443"/>
    <w:rsid w:val="9FFEA0C2"/>
    <w:rsid w:val="A33DD9F8"/>
    <w:rsid w:val="A3BC4C40"/>
    <w:rsid w:val="AB7D1E94"/>
    <w:rsid w:val="ABFB9519"/>
    <w:rsid w:val="ACF3D53C"/>
    <w:rsid w:val="ADFF5472"/>
    <w:rsid w:val="AF5F1E67"/>
    <w:rsid w:val="AFA77411"/>
    <w:rsid w:val="AFCE0B63"/>
    <w:rsid w:val="AFCF2D20"/>
    <w:rsid w:val="AFD314A0"/>
    <w:rsid w:val="AFDFD702"/>
    <w:rsid w:val="AFFF2417"/>
    <w:rsid w:val="B5D25B0E"/>
    <w:rsid w:val="B66FD6EC"/>
    <w:rsid w:val="B72F38FD"/>
    <w:rsid w:val="B7C73080"/>
    <w:rsid w:val="B7F5BD6F"/>
    <w:rsid w:val="B7FA9BCA"/>
    <w:rsid w:val="B7FD8401"/>
    <w:rsid w:val="B85A2FFF"/>
    <w:rsid w:val="B995B8C8"/>
    <w:rsid w:val="B9DB5E21"/>
    <w:rsid w:val="BAFF927C"/>
    <w:rsid w:val="BB7F3B61"/>
    <w:rsid w:val="BBBD0812"/>
    <w:rsid w:val="BBDF985B"/>
    <w:rsid w:val="BBF2A955"/>
    <w:rsid w:val="BDFBF6B0"/>
    <w:rsid w:val="BDFD1F3A"/>
    <w:rsid w:val="BDFF78B9"/>
    <w:rsid w:val="BEE523E6"/>
    <w:rsid w:val="BF6A1A49"/>
    <w:rsid w:val="BF727D6C"/>
    <w:rsid w:val="BF7594BB"/>
    <w:rsid w:val="BF7F26BF"/>
    <w:rsid w:val="BFAD952B"/>
    <w:rsid w:val="BFB9FC80"/>
    <w:rsid w:val="BFDF7C76"/>
    <w:rsid w:val="BFEA4207"/>
    <w:rsid w:val="BFEBC58A"/>
    <w:rsid w:val="BFEE39AD"/>
    <w:rsid w:val="BFEF9A95"/>
    <w:rsid w:val="BFFDCB13"/>
    <w:rsid w:val="BFFFD59B"/>
    <w:rsid w:val="C5FF71D5"/>
    <w:rsid w:val="C73BD38C"/>
    <w:rsid w:val="C79C3604"/>
    <w:rsid w:val="C7CBE80D"/>
    <w:rsid w:val="CBA3102E"/>
    <w:rsid w:val="CEF2649C"/>
    <w:rsid w:val="CEF7A941"/>
    <w:rsid w:val="CFE67CD5"/>
    <w:rsid w:val="D2DE211D"/>
    <w:rsid w:val="D2DF9E7B"/>
    <w:rsid w:val="D3BDCF41"/>
    <w:rsid w:val="D3DDE3EB"/>
    <w:rsid w:val="D3FFF8C0"/>
    <w:rsid w:val="D57F1FBC"/>
    <w:rsid w:val="D5D76579"/>
    <w:rsid w:val="D6D5B888"/>
    <w:rsid w:val="D7E26ADC"/>
    <w:rsid w:val="D7FF0A32"/>
    <w:rsid w:val="D8CF37D3"/>
    <w:rsid w:val="D8FB4919"/>
    <w:rsid w:val="D9F907F5"/>
    <w:rsid w:val="DA7D3F84"/>
    <w:rsid w:val="DAFFF3D0"/>
    <w:rsid w:val="DB9E7B20"/>
    <w:rsid w:val="DBFFC13C"/>
    <w:rsid w:val="DCF75AC6"/>
    <w:rsid w:val="DDAE54E9"/>
    <w:rsid w:val="DEA76138"/>
    <w:rsid w:val="DEED2336"/>
    <w:rsid w:val="DF3C7937"/>
    <w:rsid w:val="DF6CC181"/>
    <w:rsid w:val="DFB6024F"/>
    <w:rsid w:val="DFBF80C3"/>
    <w:rsid w:val="DFE56948"/>
    <w:rsid w:val="DFEF4D62"/>
    <w:rsid w:val="DFFB80D6"/>
    <w:rsid w:val="DFFE0E2D"/>
    <w:rsid w:val="DFFFD9EE"/>
    <w:rsid w:val="E07F8749"/>
    <w:rsid w:val="E65EAA84"/>
    <w:rsid w:val="E6FFC15F"/>
    <w:rsid w:val="E7E42B04"/>
    <w:rsid w:val="E7FB540E"/>
    <w:rsid w:val="E83D0918"/>
    <w:rsid w:val="E9958531"/>
    <w:rsid w:val="E9FC21F6"/>
    <w:rsid w:val="EBFD0361"/>
    <w:rsid w:val="EBFF00D2"/>
    <w:rsid w:val="EBFF3975"/>
    <w:rsid w:val="ECE8D489"/>
    <w:rsid w:val="ED6B8BCE"/>
    <w:rsid w:val="EDFBCEE6"/>
    <w:rsid w:val="EE7E56F2"/>
    <w:rsid w:val="EEF6F35A"/>
    <w:rsid w:val="EF3BF520"/>
    <w:rsid w:val="EF7EF161"/>
    <w:rsid w:val="EF7F04E3"/>
    <w:rsid w:val="EFB32719"/>
    <w:rsid w:val="EFB69726"/>
    <w:rsid w:val="EFBEEAD2"/>
    <w:rsid w:val="EFBF1ACC"/>
    <w:rsid w:val="EFD5D285"/>
    <w:rsid w:val="EFED2FCD"/>
    <w:rsid w:val="EFFBAF60"/>
    <w:rsid w:val="EFFF9EA6"/>
    <w:rsid w:val="F15F6B9A"/>
    <w:rsid w:val="F1FE634F"/>
    <w:rsid w:val="F37FE738"/>
    <w:rsid w:val="F39B2D80"/>
    <w:rsid w:val="F3B73F13"/>
    <w:rsid w:val="F3BB7324"/>
    <w:rsid w:val="F3FB9F25"/>
    <w:rsid w:val="F4AAACA0"/>
    <w:rsid w:val="F53A26C6"/>
    <w:rsid w:val="F56E1A18"/>
    <w:rsid w:val="F5748B0C"/>
    <w:rsid w:val="F57F46F9"/>
    <w:rsid w:val="F5CDEB75"/>
    <w:rsid w:val="F5EFC816"/>
    <w:rsid w:val="F5F58F52"/>
    <w:rsid w:val="F5FD9AB0"/>
    <w:rsid w:val="F6731022"/>
    <w:rsid w:val="F69EC0B0"/>
    <w:rsid w:val="F6BFB898"/>
    <w:rsid w:val="F6D7748A"/>
    <w:rsid w:val="F6EF83CD"/>
    <w:rsid w:val="F6FDFF49"/>
    <w:rsid w:val="F76733C2"/>
    <w:rsid w:val="F77B7444"/>
    <w:rsid w:val="F77E83BA"/>
    <w:rsid w:val="F7BF12A4"/>
    <w:rsid w:val="F7BFB3F4"/>
    <w:rsid w:val="F7BFC1E7"/>
    <w:rsid w:val="F7D921F6"/>
    <w:rsid w:val="F7DDCA41"/>
    <w:rsid w:val="F7EE14D1"/>
    <w:rsid w:val="F7EF5C14"/>
    <w:rsid w:val="F8F5188D"/>
    <w:rsid w:val="F9BF3387"/>
    <w:rsid w:val="F9F7BEF1"/>
    <w:rsid w:val="F9FD799D"/>
    <w:rsid w:val="FA7BB48E"/>
    <w:rsid w:val="FA7F5928"/>
    <w:rsid w:val="FAA45723"/>
    <w:rsid w:val="FABCFD02"/>
    <w:rsid w:val="FB5ECB84"/>
    <w:rsid w:val="FB5F7F7C"/>
    <w:rsid w:val="FB6E7AD4"/>
    <w:rsid w:val="FBBB98EF"/>
    <w:rsid w:val="FBBF9EC9"/>
    <w:rsid w:val="FBE9A02E"/>
    <w:rsid w:val="FBEBA5D6"/>
    <w:rsid w:val="FBF7C5DC"/>
    <w:rsid w:val="FBFA8501"/>
    <w:rsid w:val="FBFE1451"/>
    <w:rsid w:val="FBFF60CC"/>
    <w:rsid w:val="FBFF6A3B"/>
    <w:rsid w:val="FBFFD877"/>
    <w:rsid w:val="FCFF075B"/>
    <w:rsid w:val="FD1DC77D"/>
    <w:rsid w:val="FD75C0A3"/>
    <w:rsid w:val="FD7EABB9"/>
    <w:rsid w:val="FDBB564F"/>
    <w:rsid w:val="FDDB729B"/>
    <w:rsid w:val="FDFF8BA3"/>
    <w:rsid w:val="FE5DED4E"/>
    <w:rsid w:val="FE6E6877"/>
    <w:rsid w:val="FEB5D5FE"/>
    <w:rsid w:val="FED17BFB"/>
    <w:rsid w:val="FED7BD22"/>
    <w:rsid w:val="FEFF532F"/>
    <w:rsid w:val="FEFF5EE2"/>
    <w:rsid w:val="FF01B123"/>
    <w:rsid w:val="FF3D610E"/>
    <w:rsid w:val="FF3E5864"/>
    <w:rsid w:val="FF5FDFFD"/>
    <w:rsid w:val="FFAD5F6B"/>
    <w:rsid w:val="FFADE24C"/>
    <w:rsid w:val="FFB92229"/>
    <w:rsid w:val="FFBA34ED"/>
    <w:rsid w:val="FFBBF989"/>
    <w:rsid w:val="FFBFDBD0"/>
    <w:rsid w:val="FFBFF67A"/>
    <w:rsid w:val="FFC2B585"/>
    <w:rsid w:val="FFCAA518"/>
    <w:rsid w:val="FFCF056C"/>
    <w:rsid w:val="FFCF4E8D"/>
    <w:rsid w:val="FFD5B66E"/>
    <w:rsid w:val="FFDBF83A"/>
    <w:rsid w:val="FFDD4A79"/>
    <w:rsid w:val="FFDD88CD"/>
    <w:rsid w:val="FFDDAE55"/>
    <w:rsid w:val="FFDF71A4"/>
    <w:rsid w:val="FFE73375"/>
    <w:rsid w:val="FFED3841"/>
    <w:rsid w:val="FFEF25B3"/>
    <w:rsid w:val="FFEF903E"/>
    <w:rsid w:val="FFF36A62"/>
    <w:rsid w:val="FFF3A757"/>
    <w:rsid w:val="FFF516F7"/>
    <w:rsid w:val="FFF71505"/>
    <w:rsid w:val="FFFE0128"/>
    <w:rsid w:val="FFFE4A17"/>
    <w:rsid w:val="FFFF2CDB"/>
    <w:rsid w:val="FFFF3117"/>
    <w:rsid w:val="FFFF881A"/>
    <w:rsid w:val="FFFFD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4"/>
    <w:link w:val="40"/>
    <w:qFormat/>
    <w:uiPriority w:val="9"/>
    <w:pPr>
      <w:tabs>
        <w:tab w:val="center" w:pos="4153"/>
        <w:tab w:val="right" w:pos="8306"/>
      </w:tabs>
      <w:spacing w:before="624" w:beforeLines="200" w:after="624" w:afterLines="200"/>
      <w:outlineLvl w:val="0"/>
    </w:pPr>
    <w:rPr>
      <w:rFonts w:ascii="微软雅黑" w:eastAsia="微软雅黑" w:hAnsiTheme="majorHAnsi" w:cstheme="majorBidi"/>
      <w:b/>
      <w:color w:val="000000" w:themeColor="text1"/>
      <w:sz w:val="44"/>
      <w:szCs w:val="48"/>
      <w:lang w:val="zh-CN"/>
      <w14:textFill>
        <w14:solidFill>
          <w14:schemeClr w14:val="tx1"/>
        </w14:solidFill>
      </w14:textFill>
    </w:rPr>
  </w:style>
  <w:style w:type="paragraph" w:styleId="5">
    <w:name w:val="heading 2"/>
    <w:basedOn w:val="1"/>
    <w:next w:val="1"/>
    <w:link w:val="41"/>
    <w:unhideWhenUsed/>
    <w:qFormat/>
    <w:uiPriority w:val="9"/>
    <w:pPr>
      <w:spacing w:before="100" w:beforeLines="100" w:after="100" w:afterLines="100" w:line="560" w:lineRule="exact"/>
      <w:jc w:val="center"/>
      <w:outlineLvl w:val="1"/>
    </w:pPr>
    <w:rPr>
      <w:rFonts w:eastAsia="黑体" w:asciiTheme="majorHAnsi" w:hAnsiTheme="majorHAnsi" w:cstheme="majorBidi"/>
      <w:sz w:val="32"/>
      <w:szCs w:val="40"/>
    </w:rPr>
  </w:style>
  <w:style w:type="paragraph" w:styleId="6">
    <w:name w:val="heading 3"/>
    <w:basedOn w:val="1"/>
    <w:next w:val="1"/>
    <w:link w:val="42"/>
    <w:unhideWhenUsed/>
    <w:qFormat/>
    <w:uiPriority w:val="9"/>
    <w:pPr>
      <w:spacing w:before="240" w:after="160" w:line="560" w:lineRule="exact"/>
      <w:jc w:val="center"/>
      <w:outlineLvl w:val="2"/>
    </w:pPr>
    <w:rPr>
      <w:rFonts w:eastAsia="黑体" w:asciiTheme="majorHAnsi" w:hAnsiTheme="majorHAnsi" w:cstheme="majorBidi"/>
      <w:sz w:val="32"/>
      <w:szCs w:val="32"/>
    </w:rPr>
  </w:style>
  <w:style w:type="paragraph" w:styleId="7">
    <w:name w:val="heading 4"/>
    <w:basedOn w:val="1"/>
    <w:next w:val="1"/>
    <w:link w:val="4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8">
    <w:name w:val="heading 5"/>
    <w:basedOn w:val="1"/>
    <w:next w:val="1"/>
    <w:link w:val="44"/>
    <w:unhideWhenUsed/>
    <w:qFormat/>
    <w:uiPriority w:val="9"/>
    <w:pPr>
      <w:keepNext/>
      <w:keepLines/>
      <w:spacing w:before="80" w:after="40"/>
      <w:outlineLvl w:val="4"/>
    </w:pPr>
    <w:rPr>
      <w:rFonts w:cstheme="majorBidi"/>
      <w:color w:val="2F5597" w:themeColor="accent1" w:themeShade="BF"/>
      <w:sz w:val="24"/>
      <w:szCs w:val="24"/>
    </w:rPr>
  </w:style>
  <w:style w:type="paragraph" w:styleId="9">
    <w:name w:val="heading 6"/>
    <w:basedOn w:val="1"/>
    <w:next w:val="1"/>
    <w:link w:val="45"/>
    <w:semiHidden/>
    <w:unhideWhenUsed/>
    <w:qFormat/>
    <w:uiPriority w:val="9"/>
    <w:pPr>
      <w:keepNext/>
      <w:keepLines/>
      <w:spacing w:before="40"/>
      <w:outlineLvl w:val="5"/>
    </w:pPr>
    <w:rPr>
      <w:rFonts w:cstheme="majorBidi"/>
      <w:b/>
      <w:bCs/>
      <w:color w:val="2F5597" w:themeColor="accent1" w:themeShade="BF"/>
    </w:rPr>
  </w:style>
  <w:style w:type="paragraph" w:styleId="10">
    <w:name w:val="heading 7"/>
    <w:basedOn w:val="1"/>
    <w:next w:val="1"/>
    <w:link w:val="4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4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4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3">
    <w:name w:val="header"/>
    <w:basedOn w:val="1"/>
    <w:link w:val="58"/>
    <w:unhideWhenUsed/>
    <w:qFormat/>
    <w:uiPriority w:val="99"/>
    <w:pPr>
      <w:tabs>
        <w:tab w:val="center" w:pos="4153"/>
        <w:tab w:val="right" w:pos="8306"/>
      </w:tabs>
      <w:snapToGrid w:val="0"/>
      <w:jc w:val="center"/>
    </w:pPr>
    <w:rPr>
      <w:sz w:val="18"/>
      <w:szCs w:val="18"/>
    </w:rPr>
  </w:style>
  <w:style w:type="paragraph" w:styleId="4">
    <w:name w:val="Message Header"/>
    <w:basedOn w:val="1"/>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3">
    <w:name w:val="Normal Indent"/>
    <w:basedOn w:val="1"/>
    <w:qFormat/>
    <w:uiPriority w:val="99"/>
    <w:pPr>
      <w:ind w:firstLine="200"/>
    </w:pPr>
    <w:rPr>
      <w:rFonts w:eastAsia="楷体_GB2312"/>
    </w:rPr>
  </w:style>
  <w:style w:type="paragraph" w:styleId="14">
    <w:name w:val="index 5"/>
    <w:basedOn w:val="1"/>
    <w:next w:val="1"/>
    <w:qFormat/>
    <w:uiPriority w:val="0"/>
    <w:pPr>
      <w:ind w:left="800" w:leftChars="800"/>
    </w:pPr>
  </w:style>
  <w:style w:type="paragraph" w:styleId="15">
    <w:name w:val="annotation text"/>
    <w:basedOn w:val="1"/>
    <w:link w:val="80"/>
    <w:semiHidden/>
    <w:unhideWhenUsed/>
    <w:qFormat/>
    <w:uiPriority w:val="99"/>
    <w:pPr>
      <w:jc w:val="left"/>
    </w:pPr>
  </w:style>
  <w:style w:type="paragraph" w:styleId="16">
    <w:name w:val="Body Text 3"/>
    <w:basedOn w:val="1"/>
    <w:qFormat/>
    <w:uiPriority w:val="0"/>
    <w:pPr>
      <w:spacing w:after="120"/>
    </w:pPr>
    <w:rPr>
      <w:kern w:val="0"/>
      <w:sz w:val="16"/>
      <w:szCs w:val="16"/>
    </w:rPr>
  </w:style>
  <w:style w:type="paragraph" w:styleId="17">
    <w:name w:val="Body Text"/>
    <w:basedOn w:val="1"/>
    <w:link w:val="60"/>
    <w:semiHidden/>
    <w:unhideWhenUsed/>
    <w:qFormat/>
    <w:uiPriority w:val="99"/>
    <w:pPr>
      <w:spacing w:after="120"/>
    </w:pPr>
  </w:style>
  <w:style w:type="paragraph" w:styleId="18">
    <w:name w:val="Body Text Indent"/>
    <w:basedOn w:val="1"/>
    <w:link w:val="62"/>
    <w:semiHidden/>
    <w:unhideWhenUsed/>
    <w:qFormat/>
    <w:uiPriority w:val="99"/>
    <w:pPr>
      <w:spacing w:after="120"/>
      <w:ind w:left="420" w:leftChars="200"/>
    </w:pPr>
  </w:style>
  <w:style w:type="paragraph" w:styleId="19">
    <w:name w:val="toc 3"/>
    <w:basedOn w:val="1"/>
    <w:next w:val="1"/>
    <w:unhideWhenUsed/>
    <w:qFormat/>
    <w:uiPriority w:val="39"/>
    <w:pPr>
      <w:ind w:left="420" w:leftChars="200"/>
    </w:pPr>
    <w:rPr>
      <w:rFonts w:ascii="仿宋_GB2312" w:hAnsi="仿宋_GB2312" w:eastAsia="仿宋_GB2312" w:cs="仿宋_GB2312"/>
      <w:sz w:val="32"/>
      <w:szCs w:val="32"/>
    </w:rPr>
  </w:style>
  <w:style w:type="paragraph" w:styleId="20">
    <w:name w:val="Date"/>
    <w:basedOn w:val="1"/>
    <w:next w:val="1"/>
    <w:link w:val="69"/>
    <w:semiHidden/>
    <w:unhideWhenUsed/>
    <w:qFormat/>
    <w:uiPriority w:val="99"/>
    <w:pPr>
      <w:ind w:left="100" w:leftChars="2500"/>
    </w:pPr>
  </w:style>
  <w:style w:type="paragraph" w:styleId="21">
    <w:name w:val="Balloon Text"/>
    <w:basedOn w:val="1"/>
    <w:link w:val="76"/>
    <w:semiHidden/>
    <w:unhideWhenUsed/>
    <w:qFormat/>
    <w:uiPriority w:val="99"/>
    <w:rPr>
      <w:sz w:val="18"/>
      <w:szCs w:val="18"/>
    </w:rPr>
  </w:style>
  <w:style w:type="paragraph" w:styleId="22">
    <w:name w:val="footer"/>
    <w:basedOn w:val="1"/>
    <w:link w:val="59"/>
    <w:unhideWhenUsed/>
    <w:qFormat/>
    <w:uiPriority w:val="99"/>
    <w:pPr>
      <w:tabs>
        <w:tab w:val="center" w:pos="4153"/>
        <w:tab w:val="right" w:pos="8306"/>
      </w:tabs>
      <w:snapToGrid w:val="0"/>
      <w:jc w:val="left"/>
    </w:pPr>
    <w:rPr>
      <w:sz w:val="18"/>
      <w:szCs w:val="18"/>
    </w:rPr>
  </w:style>
  <w:style w:type="paragraph" w:styleId="23">
    <w:name w:val="toc 1"/>
    <w:basedOn w:val="1"/>
    <w:next w:val="1"/>
    <w:unhideWhenUsed/>
    <w:qFormat/>
    <w:uiPriority w:val="39"/>
  </w:style>
  <w:style w:type="paragraph" w:styleId="24">
    <w:name w:val="Subtitle"/>
    <w:basedOn w:val="1"/>
    <w:next w:val="1"/>
    <w:link w:val="5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toc 2"/>
    <w:basedOn w:val="1"/>
    <w:next w:val="1"/>
    <w:unhideWhenUsed/>
    <w:qFormat/>
    <w:uiPriority w:val="39"/>
    <w:pPr>
      <w:tabs>
        <w:tab w:val="right" w:leader="dot" w:pos="8845"/>
      </w:tabs>
    </w:pPr>
    <w:rPr>
      <w:rFonts w:ascii="仿宋_GB2312" w:hAnsi="仿宋_GB2312" w:eastAsia="黑体" w:cs="仿宋_GB2312"/>
      <w:sz w:val="32"/>
      <w:szCs w:val="32"/>
    </w:rPr>
  </w:style>
  <w:style w:type="paragraph" w:styleId="26">
    <w:name w:val="Body Text 2"/>
    <w:basedOn w:val="1"/>
    <w:qFormat/>
    <w:uiPriority w:val="0"/>
    <w:rPr>
      <w:rFonts w:ascii="Calibri" w:hAnsi="Calibri" w:eastAsia="宋体" w:cs="Times New Roman"/>
      <w:color w:val="0000FF"/>
    </w:rPr>
  </w:style>
  <w:style w:type="paragraph" w:styleId="2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28">
    <w:name w:val="Normal (Web)"/>
    <w:basedOn w:val="1"/>
    <w:semiHidden/>
    <w:unhideWhenUsed/>
    <w:qFormat/>
    <w:uiPriority w:val="99"/>
    <w:pPr>
      <w:spacing w:beforeAutospacing="1" w:afterAutospacing="1"/>
      <w:jc w:val="left"/>
    </w:pPr>
    <w:rPr>
      <w:rFonts w:cs="Times New Roman"/>
      <w:kern w:val="0"/>
      <w:sz w:val="24"/>
    </w:rPr>
  </w:style>
  <w:style w:type="paragraph" w:styleId="29">
    <w:name w:val="Title"/>
    <w:basedOn w:val="1"/>
    <w:next w:val="1"/>
    <w:link w:val="49"/>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30">
    <w:name w:val="annotation subject"/>
    <w:basedOn w:val="15"/>
    <w:next w:val="15"/>
    <w:link w:val="81"/>
    <w:semiHidden/>
    <w:unhideWhenUsed/>
    <w:qFormat/>
    <w:uiPriority w:val="99"/>
    <w:rPr>
      <w:b/>
      <w:bCs/>
    </w:rPr>
  </w:style>
  <w:style w:type="paragraph" w:styleId="31">
    <w:name w:val="Body Text First Indent"/>
    <w:basedOn w:val="17"/>
    <w:next w:val="32"/>
    <w:link w:val="61"/>
    <w:qFormat/>
    <w:uiPriority w:val="0"/>
    <w:pPr>
      <w:ind w:firstLine="420" w:firstLineChars="100"/>
    </w:pPr>
    <w:rPr>
      <w:rFonts w:ascii="Calibri" w:hAnsi="Calibri" w:eastAsia="宋体" w:cs="Times New Roman"/>
      <w:szCs w:val="24"/>
    </w:rPr>
  </w:style>
  <w:style w:type="paragraph" w:styleId="32">
    <w:name w:val="Body Text First Indent 2"/>
    <w:basedOn w:val="18"/>
    <w:link w:val="63"/>
    <w:unhideWhenUsed/>
    <w:qFormat/>
    <w:uiPriority w:val="99"/>
    <w:pPr>
      <w:ind w:firstLine="420" w:firstLineChars="200"/>
    </w:pPr>
  </w:style>
  <w:style w:type="table" w:styleId="34">
    <w:name w:val="Table Grid"/>
    <w:basedOn w:val="3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basedOn w:val="35"/>
    <w:qFormat/>
    <w:uiPriority w:val="22"/>
    <w:rPr>
      <w:b/>
    </w:rPr>
  </w:style>
  <w:style w:type="character" w:styleId="37">
    <w:name w:val="Emphasis"/>
    <w:basedOn w:val="35"/>
    <w:qFormat/>
    <w:uiPriority w:val="20"/>
    <w:rPr>
      <w:i/>
    </w:rPr>
  </w:style>
  <w:style w:type="character" w:styleId="38">
    <w:name w:val="Hyperlink"/>
    <w:basedOn w:val="35"/>
    <w:unhideWhenUsed/>
    <w:qFormat/>
    <w:uiPriority w:val="99"/>
    <w:rPr>
      <w:color w:val="0563C1" w:themeColor="hyperlink"/>
      <w:u w:val="single"/>
      <w14:textFill>
        <w14:solidFill>
          <w14:schemeClr w14:val="hlink"/>
        </w14:solidFill>
      </w14:textFill>
    </w:rPr>
  </w:style>
  <w:style w:type="character" w:styleId="39">
    <w:name w:val="annotation reference"/>
    <w:basedOn w:val="35"/>
    <w:semiHidden/>
    <w:unhideWhenUsed/>
    <w:qFormat/>
    <w:uiPriority w:val="99"/>
    <w:rPr>
      <w:sz w:val="21"/>
      <w:szCs w:val="21"/>
    </w:rPr>
  </w:style>
  <w:style w:type="character" w:customStyle="1" w:styleId="40">
    <w:name w:val="标题 1 Char"/>
    <w:basedOn w:val="35"/>
    <w:link w:val="2"/>
    <w:qFormat/>
    <w:uiPriority w:val="9"/>
    <w:rPr>
      <w:rFonts w:ascii="微软雅黑" w:eastAsia="微软雅黑" w:hAnsiTheme="majorHAnsi" w:cstheme="majorBidi"/>
      <w:b/>
      <w:color w:val="000000" w:themeColor="text1"/>
      <w:kern w:val="2"/>
      <w:sz w:val="44"/>
      <w:szCs w:val="48"/>
      <w:lang w:val="zh-CN"/>
      <w14:textFill>
        <w14:solidFill>
          <w14:schemeClr w14:val="tx1"/>
        </w14:solidFill>
      </w14:textFill>
    </w:rPr>
  </w:style>
  <w:style w:type="character" w:customStyle="1" w:styleId="41">
    <w:name w:val="标题 2 Char"/>
    <w:link w:val="5"/>
    <w:qFormat/>
    <w:uiPriority w:val="9"/>
    <w:rPr>
      <w:rFonts w:eastAsia="黑体" w:asciiTheme="majorHAnsi" w:hAnsiTheme="majorHAnsi" w:cstheme="majorBidi"/>
      <w:color w:val="auto"/>
      <w:kern w:val="2"/>
      <w:sz w:val="32"/>
      <w:szCs w:val="40"/>
      <w:lang w:val="en-US" w:eastAsia="zh-CN" w:bidi="ar-SA"/>
    </w:rPr>
  </w:style>
  <w:style w:type="character" w:customStyle="1" w:styleId="42">
    <w:name w:val="标题 3 Char"/>
    <w:link w:val="6"/>
    <w:qFormat/>
    <w:uiPriority w:val="9"/>
    <w:rPr>
      <w:rFonts w:eastAsia="黑体" w:asciiTheme="majorHAnsi" w:hAnsiTheme="majorHAnsi" w:cstheme="majorBidi"/>
      <w:color w:val="auto"/>
      <w:kern w:val="2"/>
      <w:sz w:val="32"/>
      <w:szCs w:val="32"/>
      <w:lang w:val="en-US" w:eastAsia="zh-CN" w:bidi="ar-SA"/>
    </w:rPr>
  </w:style>
  <w:style w:type="character" w:customStyle="1" w:styleId="43">
    <w:name w:val="标题 4 Char"/>
    <w:basedOn w:val="35"/>
    <w:link w:val="7"/>
    <w:semiHidden/>
    <w:qFormat/>
    <w:uiPriority w:val="9"/>
    <w:rPr>
      <w:rFonts w:cstheme="majorBidi"/>
      <w:color w:val="2F5597" w:themeColor="accent1" w:themeShade="BF"/>
      <w:sz w:val="28"/>
      <w:szCs w:val="28"/>
    </w:rPr>
  </w:style>
  <w:style w:type="character" w:customStyle="1" w:styleId="44">
    <w:name w:val="标题 5 Char"/>
    <w:basedOn w:val="35"/>
    <w:link w:val="8"/>
    <w:qFormat/>
    <w:uiPriority w:val="9"/>
    <w:rPr>
      <w:rFonts w:cstheme="majorBidi"/>
      <w:color w:val="2F5597" w:themeColor="accent1" w:themeShade="BF"/>
      <w:sz w:val="24"/>
      <w:szCs w:val="24"/>
    </w:rPr>
  </w:style>
  <w:style w:type="character" w:customStyle="1" w:styleId="45">
    <w:name w:val="标题 6 Char"/>
    <w:basedOn w:val="35"/>
    <w:link w:val="9"/>
    <w:semiHidden/>
    <w:qFormat/>
    <w:uiPriority w:val="9"/>
    <w:rPr>
      <w:rFonts w:cstheme="majorBidi"/>
      <w:b/>
      <w:bCs/>
      <w:color w:val="2F5597" w:themeColor="accent1" w:themeShade="BF"/>
    </w:rPr>
  </w:style>
  <w:style w:type="character" w:customStyle="1" w:styleId="46">
    <w:name w:val="标题 7 Char"/>
    <w:basedOn w:val="35"/>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7">
    <w:name w:val="标题 8 Char"/>
    <w:basedOn w:val="35"/>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8">
    <w:name w:val="标题 9 Char"/>
    <w:basedOn w:val="35"/>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9">
    <w:name w:val="标题 Char"/>
    <w:basedOn w:val="35"/>
    <w:link w:val="29"/>
    <w:qFormat/>
    <w:uiPriority w:val="10"/>
    <w:rPr>
      <w:rFonts w:asciiTheme="majorHAnsi" w:hAnsiTheme="majorHAnsi" w:eastAsiaTheme="majorEastAsia" w:cstheme="majorBidi"/>
      <w:spacing w:val="-10"/>
      <w:kern w:val="28"/>
      <w:sz w:val="56"/>
      <w:szCs w:val="56"/>
    </w:rPr>
  </w:style>
  <w:style w:type="character" w:customStyle="1" w:styleId="50">
    <w:name w:val="副标题 Char"/>
    <w:basedOn w:val="35"/>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1">
    <w:name w:val="Quote"/>
    <w:basedOn w:val="1"/>
    <w:next w:val="1"/>
    <w:link w:val="5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52">
    <w:name w:val="引用 Char"/>
    <w:basedOn w:val="35"/>
    <w:link w:val="51"/>
    <w:qFormat/>
    <w:uiPriority w:val="29"/>
    <w:rPr>
      <w:i/>
      <w:iCs/>
      <w:color w:val="404040" w:themeColor="text1" w:themeTint="BF"/>
      <w14:textFill>
        <w14:solidFill>
          <w14:schemeClr w14:val="tx1">
            <w14:lumMod w14:val="75000"/>
            <w14:lumOff w14:val="25000"/>
          </w14:schemeClr>
        </w14:solidFill>
      </w14:textFill>
    </w:rPr>
  </w:style>
  <w:style w:type="paragraph" w:styleId="53">
    <w:name w:val="List Paragraph"/>
    <w:basedOn w:val="1"/>
    <w:qFormat/>
    <w:uiPriority w:val="34"/>
    <w:pPr>
      <w:ind w:left="720"/>
      <w:contextualSpacing/>
    </w:pPr>
  </w:style>
  <w:style w:type="character" w:customStyle="1" w:styleId="54">
    <w:name w:val="明显强调1"/>
    <w:basedOn w:val="35"/>
    <w:qFormat/>
    <w:uiPriority w:val="21"/>
    <w:rPr>
      <w:i/>
      <w:iCs/>
      <w:color w:val="2F5597" w:themeColor="accent1" w:themeShade="BF"/>
    </w:rPr>
  </w:style>
  <w:style w:type="paragraph" w:styleId="55">
    <w:name w:val="Intense Quote"/>
    <w:basedOn w:val="1"/>
    <w:next w:val="1"/>
    <w:link w:val="5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6">
    <w:name w:val="明显引用 Char"/>
    <w:basedOn w:val="35"/>
    <w:link w:val="55"/>
    <w:qFormat/>
    <w:uiPriority w:val="30"/>
    <w:rPr>
      <w:i/>
      <w:iCs/>
      <w:color w:val="2F5597" w:themeColor="accent1" w:themeShade="BF"/>
    </w:rPr>
  </w:style>
  <w:style w:type="character" w:customStyle="1" w:styleId="57">
    <w:name w:val="明显参考1"/>
    <w:basedOn w:val="35"/>
    <w:qFormat/>
    <w:uiPriority w:val="32"/>
    <w:rPr>
      <w:b/>
      <w:bCs/>
      <w:smallCaps/>
      <w:color w:val="2F5597" w:themeColor="accent1" w:themeShade="BF"/>
      <w:spacing w:val="5"/>
    </w:rPr>
  </w:style>
  <w:style w:type="character" w:customStyle="1" w:styleId="58">
    <w:name w:val="页眉 Char"/>
    <w:basedOn w:val="35"/>
    <w:link w:val="3"/>
    <w:qFormat/>
    <w:uiPriority w:val="99"/>
    <w:rPr>
      <w:rFonts w:asciiTheme="minorHAnsi" w:hAnsiTheme="minorHAnsi" w:eastAsiaTheme="minorEastAsia" w:cstheme="minorBidi"/>
      <w:kern w:val="2"/>
      <w:sz w:val="18"/>
      <w:szCs w:val="18"/>
    </w:rPr>
  </w:style>
  <w:style w:type="character" w:customStyle="1" w:styleId="59">
    <w:name w:val="页脚 Char"/>
    <w:basedOn w:val="35"/>
    <w:link w:val="22"/>
    <w:qFormat/>
    <w:uiPriority w:val="99"/>
    <w:rPr>
      <w:rFonts w:asciiTheme="minorHAnsi" w:hAnsiTheme="minorHAnsi" w:eastAsiaTheme="minorEastAsia" w:cstheme="minorBidi"/>
      <w:kern w:val="2"/>
      <w:sz w:val="18"/>
      <w:szCs w:val="18"/>
    </w:rPr>
  </w:style>
  <w:style w:type="character" w:customStyle="1" w:styleId="60">
    <w:name w:val="正文文本 Char"/>
    <w:basedOn w:val="35"/>
    <w:link w:val="17"/>
    <w:semiHidden/>
    <w:qFormat/>
    <w:uiPriority w:val="99"/>
    <w:rPr>
      <w:rFonts w:asciiTheme="minorHAnsi" w:hAnsiTheme="minorHAnsi" w:eastAsiaTheme="minorEastAsia" w:cstheme="minorBidi"/>
      <w:kern w:val="2"/>
      <w:sz w:val="21"/>
      <w:szCs w:val="22"/>
    </w:rPr>
  </w:style>
  <w:style w:type="character" w:customStyle="1" w:styleId="61">
    <w:name w:val="正文首行缩进 Char"/>
    <w:basedOn w:val="60"/>
    <w:link w:val="31"/>
    <w:qFormat/>
    <w:uiPriority w:val="0"/>
    <w:rPr>
      <w:rFonts w:ascii="Calibri" w:hAnsi="Calibri" w:eastAsiaTheme="minorEastAsia" w:cstheme="minorBidi"/>
      <w:kern w:val="2"/>
      <w:sz w:val="21"/>
      <w:szCs w:val="24"/>
    </w:rPr>
  </w:style>
  <w:style w:type="character" w:customStyle="1" w:styleId="62">
    <w:name w:val="正文文本缩进 Char"/>
    <w:basedOn w:val="35"/>
    <w:link w:val="18"/>
    <w:semiHidden/>
    <w:qFormat/>
    <w:uiPriority w:val="99"/>
    <w:rPr>
      <w:rFonts w:asciiTheme="minorHAnsi" w:hAnsiTheme="minorHAnsi" w:eastAsiaTheme="minorEastAsia" w:cstheme="minorBidi"/>
      <w:kern w:val="2"/>
      <w:sz w:val="21"/>
      <w:szCs w:val="22"/>
    </w:rPr>
  </w:style>
  <w:style w:type="character" w:customStyle="1" w:styleId="63">
    <w:name w:val="正文首行缩进 2 Char"/>
    <w:basedOn w:val="62"/>
    <w:link w:val="32"/>
    <w:qFormat/>
    <w:uiPriority w:val="99"/>
    <w:rPr>
      <w:rFonts w:asciiTheme="minorHAnsi" w:hAnsiTheme="minorHAnsi" w:eastAsiaTheme="minorEastAsia" w:cstheme="minorBidi"/>
      <w:kern w:val="2"/>
      <w:sz w:val="21"/>
      <w:szCs w:val="22"/>
    </w:rPr>
  </w:style>
  <w:style w:type="character" w:customStyle="1" w:styleId="64">
    <w:name w:val="未处理的提及1"/>
    <w:basedOn w:val="35"/>
    <w:semiHidden/>
    <w:unhideWhenUsed/>
    <w:qFormat/>
    <w:uiPriority w:val="99"/>
    <w:rPr>
      <w:color w:val="605E5C"/>
      <w:shd w:val="clear" w:color="auto" w:fill="E1DFDD"/>
    </w:rPr>
  </w:style>
  <w:style w:type="paragraph" w:customStyle="1" w:styleId="65">
    <w:name w:val="正文缩进1"/>
    <w:qFormat/>
    <w:uiPriority w:val="0"/>
    <w:pPr>
      <w:widowControl w:val="0"/>
      <w:spacing w:line="660" w:lineRule="exact"/>
      <w:ind w:firstLine="720" w:firstLineChars="200"/>
      <w:jc w:val="both"/>
    </w:pPr>
    <w:rPr>
      <w:rFonts w:ascii="Calibri" w:hAnsi="Calibri" w:eastAsia="方正仿宋_GB2312" w:cs="Times New Roman"/>
      <w:kern w:val="2"/>
      <w:sz w:val="36"/>
      <w:szCs w:val="24"/>
      <w:lang w:val="en-US" w:eastAsia="zh-CN" w:bidi="ar-SA"/>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8">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69">
    <w:name w:val="日期 Char"/>
    <w:basedOn w:val="35"/>
    <w:link w:val="20"/>
    <w:semiHidden/>
    <w:qFormat/>
    <w:uiPriority w:val="99"/>
    <w:rPr>
      <w:rFonts w:asciiTheme="minorHAnsi" w:hAnsiTheme="minorHAnsi" w:eastAsiaTheme="minorEastAsia" w:cstheme="minorBidi"/>
      <w:kern w:val="2"/>
      <w:sz w:val="21"/>
      <w:szCs w:val="22"/>
    </w:rPr>
  </w:style>
  <w:style w:type="paragraph" w:customStyle="1" w:styleId="70">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71">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72">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73">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74">
    <w:name w:val="修订5"/>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75">
    <w:name w:val="未处理的提及2"/>
    <w:basedOn w:val="35"/>
    <w:semiHidden/>
    <w:unhideWhenUsed/>
    <w:qFormat/>
    <w:uiPriority w:val="99"/>
    <w:rPr>
      <w:color w:val="605E5C"/>
      <w:shd w:val="clear" w:color="auto" w:fill="E1DFDD"/>
    </w:rPr>
  </w:style>
  <w:style w:type="character" w:customStyle="1" w:styleId="76">
    <w:name w:val="批注框文本 Char"/>
    <w:basedOn w:val="35"/>
    <w:link w:val="21"/>
    <w:semiHidden/>
    <w:qFormat/>
    <w:uiPriority w:val="99"/>
    <w:rPr>
      <w:rFonts w:asciiTheme="minorHAnsi" w:hAnsiTheme="minorHAnsi" w:eastAsiaTheme="minorEastAsia" w:cstheme="minorBidi"/>
      <w:kern w:val="2"/>
      <w:sz w:val="18"/>
      <w:szCs w:val="18"/>
    </w:rPr>
  </w:style>
  <w:style w:type="character" w:customStyle="1" w:styleId="77">
    <w:name w:val="NormalCharacter"/>
    <w:qFormat/>
    <w:uiPriority w:val="99"/>
  </w:style>
  <w:style w:type="paragraph" w:styleId="7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修订6"/>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80">
    <w:name w:val="批注文字 Char"/>
    <w:basedOn w:val="35"/>
    <w:link w:val="15"/>
    <w:semiHidden/>
    <w:qFormat/>
    <w:uiPriority w:val="99"/>
    <w:rPr>
      <w:rFonts w:asciiTheme="minorHAnsi" w:hAnsiTheme="minorHAnsi" w:eastAsiaTheme="minorEastAsia" w:cstheme="minorBidi"/>
      <w:kern w:val="2"/>
      <w:sz w:val="21"/>
      <w:szCs w:val="22"/>
    </w:rPr>
  </w:style>
  <w:style w:type="character" w:customStyle="1" w:styleId="81">
    <w:name w:val="批注主题 Char"/>
    <w:basedOn w:val="80"/>
    <w:link w:val="30"/>
    <w:semiHidden/>
    <w:qFormat/>
    <w:uiPriority w:val="99"/>
    <w:rPr>
      <w:rFonts w:asciiTheme="minorHAnsi" w:hAnsiTheme="minorHAnsi" w:eastAsiaTheme="minorEastAsia" w:cstheme="minorBidi"/>
      <w:b/>
      <w:bCs/>
      <w:kern w:val="2"/>
      <w:sz w:val="21"/>
      <w:szCs w:val="22"/>
    </w:rPr>
  </w:style>
  <w:style w:type="character" w:customStyle="1" w:styleId="82">
    <w:name w:val="样式1"/>
    <w:basedOn w:val="35"/>
    <w:qFormat/>
    <w:uiPriority w:val="0"/>
    <w:rPr>
      <w:rFonts w:ascii="Times New Roman" w:hAnsi="Times New Roman" w:eastAsia="宋体"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be98eaed-6afb-4024-a2ce-1a7cacd36531</errorID>
      <errorWord xmlns="http://schemas.wps.cn/vas-ai-hub/contract-review">城区精细化管理</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城市精细化管理</item>
      </candidateList>
      <explain xmlns="http://schemas.wps.cn/vas-ai-hub/contract-review">词汇“城市精细化管理”在特定场景下为固定表述形式，请确认此处的“城区精细化管理”是否存在不当。</explain>
      <paraID xmlns="http://schemas.wps.cn/vas-ai-hub/contract-review">4A69B499</paraID>
      <start xmlns="http://schemas.wps.cn/vas-ai-hub/contract-review">32</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63abcf74-91b0-4876-81f3-8633853f7a1a</errorID>
      <errorWord xmlns="http://schemas.wps.cn/vas-ai-hub/contract-review">坚持绿色循环发展</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坚持绿色低碳发展</item>
      </candidateList>
      <explain xmlns="http://schemas.wps.cn/vas-ai-hub/contract-review">词汇“坚持绿色低碳发展”在特定场景下为固定表述形式，请确认此处的“坚持绿色循环发展”是否存在不当。</explain>
      <paraID xmlns="http://schemas.wps.cn/vas-ai-hub/contract-review">21F2D370</paraID>
      <start xmlns="http://schemas.wps.cn/vas-ai-hub/contract-review">2</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a648d006-c247-455c-a568-110a3b71ed66</errorID>
      <errorWord xmlns="http://schemas.wps.cn/vas-ai-hub/contract-review">融入和服务全国统一大市场</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融入服务全国统一大市场</item>
      </candidateList>
      <explain xmlns="http://schemas.wps.cn/vas-ai-hub/contract-review">词汇“融入服务全国统一大市场”在特定场景下为固定表述形式，请确认此处的“融入和服务全国统一大市场”是否存在不当。</explain>
      <paraID xmlns="http://schemas.wps.cn/vas-ai-hub/contract-review">337CBE72</paraID>
      <start xmlns="http://schemas.wps.cn/vas-ai-hub/contract-review">78</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dbaf61f3-deac-41ae-a11d-a33996b306c0</errorID>
      <errorWord xmlns="http://schemas.wps.cn/vas-ai-hub/contract-review">社会文明程度显著提升</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社会文明程度明显提升</item>
      </candidateList>
      <explain xmlns="http://schemas.wps.cn/vas-ai-hub/contract-review">词汇“社会文明程度明显提升”在特定场景下为固定表述形式，请确认此处的“社会文明程度显著提升”是否存在不当。</explain>
      <paraID xmlns="http://schemas.wps.cn/vas-ai-hub/contract-review">6A823BD6</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dd8bc5e9-0d11-41c0-8cae-255ff7f7f9fd</errorID>
      <errorWord xmlns="http://schemas.wps.cn/vas-ai-hub/contract-review">平安安康建设扎实推进</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平安中国建设扎实推进</item>
      </candidateList>
      <explain xmlns="http://schemas.wps.cn/vas-ai-hub/contract-review">词汇“平安中国建设扎实推进”在特定场景下为固定表述形式，请确认此处的“平安安康建设扎实推进”是否存在不当。</explain>
      <paraID xmlns="http://schemas.wps.cn/vas-ai-hub/contract-review">213E7495</paraID>
      <start xmlns="http://schemas.wps.cn/vas-ai-hub/contract-review">105</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3beb60fd-8e15-47b1-bc01-f4678cf05ed9</errorID>
      <errorWord xmlns="http://schemas.wps.cn/vas-ai-hub/contract-review">一二三产融合</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一二三产业融合</item>
      </candidateList>
      <explain xmlns="http://schemas.wps.cn/vas-ai-hub/contract-review">词汇“一二三产业融合”在特定场景下为固定表述形式，请确认此处的“一二三产融合”是否存在不当。</explain>
      <paraID xmlns="http://schemas.wps.cn/vas-ai-hub/contract-review">21EB5B5D</paraID>
      <start xmlns="http://schemas.wps.cn/vas-ai-hub/contract-review">206</start>
      <end xmlns="http://schemas.wps.cn/vas-ai-hub/contract-review">212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342d5bca-cacd-45f1-b37f-e16f7d9bb165</errorID>
      <errorWord xmlns="http://schemas.wps.cn/vas-ai-hub/contract-review">服务业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服务</item>
      </candidateList>
      <explain xmlns="http://schemas.wps.cn/vas-ai-hub/contract-review">〈动〉为集体（或别人的）利益或为某种事业而工作：～行业｜为人民～｜科学为生产～｜他在邮局～了三十年。</explain>
      <paraID xmlns="http://schemas.wps.cn/vas-ai-hub/contract-review">39B95F30</paraID>
      <start xmlns="http://schemas.wps.cn/vas-ai-hub/contract-review">132</start>
      <end xmlns="http://schemas.wps.cn/vas-ai-hub/contract-review">135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bf398d21-6fe2-494e-9c47-57ad0577da12</errorID>
      <errorWord xmlns="http://schemas.wps.cn/vas-ai-hub/contract-review">数据产业集群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数字产业集群</item>
      </candidateList>
      <explain xmlns="http://schemas.wps.cn/vas-ai-hub/contract-review">词汇“数字产业集群”在特定场景下为固定表述形式，请确认此处的“数据产业集群”是否存在不当。</explain>
      <paraID xmlns="http://schemas.wps.cn/vas-ai-hub/contract-review">42ACE5D8</paraID>
      <start xmlns="http://schemas.wps.cn/vas-ai-hub/contract-review">43</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90d8d911-6076-435c-8846-b4534a00948f</errorID>
      <errorWord xmlns="http://schemas.wps.cn/vas-ai-hub/contract-review">综合性科学中心</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综合性国家科学中心</item>
      </candidateList>
      <explain xmlns="http://schemas.wps.cn/vas-ai-hub/contract-review">词汇“综合性国家科学中心”在特定场景下为固定表述形式，请确认此处的“综合性科学中心”是否存在不当。</explain>
      <paraID xmlns="http://schemas.wps.cn/vas-ai-hub/contract-review">12E54062</paraID>
      <start xmlns="http://schemas.wps.cn/vas-ai-hub/contract-review">34</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80a2570a-3743-4bed-9903-7f42cad5fbbc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6BF30280</paraID>
      <start xmlns="http://schemas.wps.cn/vas-ai-hub/contract-review">190</start>
      <end xmlns="http://schemas.wps.cn/vas-ai-hub/contract-review">191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00d61d1c-1087-4146-8f3e-27ac3e199116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6BF30280</paraID>
      <start xmlns="http://schemas.wps.cn/vas-ai-hub/contract-review">193</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88421e63-cc0e-46f0-86d2-ef0274671583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6BF30280</paraID>
      <start xmlns="http://schemas.wps.cn/vas-ai-hub/contract-review">196</start>
      <end xmlns="http://schemas.wps.cn/vas-ai-hub/contract-review">197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7e2f3274-3be5-4598-a7e0-1aed24eb790d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6535303C</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4f974f0e-d277-49c5-9e6a-d15d01f6913d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6535303C</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302ef9c7-cd2e-4a21-8d45-717ab9cba2de</errorID>
      <errorWord xmlns="http://schemas.wps.cn/vas-ai-hub/contract-review">谷子经济</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“谷子经济”</item>
      </candidateList>
      <explain xmlns="http://schemas.wps.cn/vas-ai-hub/contract-review">注意检查当前固定表述标点是否使用规范。</explain>
      <paraID xmlns="http://schemas.wps.cn/vas-ai-hub/contract-review"> 1FFAB58</paraID>
      <start xmlns="http://schemas.wps.cn/vas-ai-hub/contract-review">160</start>
      <end xmlns="http://schemas.wps.cn/vas-ai-hub/contract-review">164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3cea8325-cfbe-431b-b0ec-74453a0c820f</errorID>
      <errorWord xmlns="http://schemas.wps.cn/vas-ai-hub/contract-review">带货</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485CF6FB</paraID>
      <start xmlns="http://schemas.wps.cn/vas-ai-hub/contract-review">112</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f5aa7925-c436-49e4-9328-21c8d1a0151c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7C7D4279</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651bfd23-aa94-4271-9c14-2b359a99767e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7C7D4279</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d0d32bb3-7611-4ece-88fd-fa7a062b7061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7C7D4279</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19677de0-b586-41a6-a1a1-1ac049aa8b12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13CD5884</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e8944089-b723-45d2-b48a-eff504b782e9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13CD5884</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26e81783-6501-4806-8a28-e094e4441caf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13CD5884</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65e63e96-82a2-4ea5-87d2-447a2918cd9a</errorID>
      <errorWord xmlns="http://schemas.wps.cn/vas-ai-hub/contract-review">科技成果资本化</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科技成果转化</item>
      </candidateList>
      <explain xmlns="http://schemas.wps.cn/vas-ai-hub/contract-review">词汇“科技成果转化”在特定场景下为固定表述形式，请确认此处的“科技成果资本化”是否存在不当。</explain>
      <paraID xmlns="http://schemas.wps.cn/vas-ai-hub/contract-review"> 5486E81</paraID>
      <start xmlns="http://schemas.wps.cn/vas-ai-hub/contract-review">206</start>
      <end xmlns="http://schemas.wps.cn/vas-ai-hub/contract-review">213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225b45a4-3bbb-4255-84bc-89beb8382d04</errorID>
      <errorWord xmlns="http://schemas.wps.cn/vas-ai-hub/contract-review">内卷</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65760619</paraID>
      <start xmlns="http://schemas.wps.cn/vas-ai-hub/contract-review">203</start>
      <end xmlns="http://schemas.wps.cn/vas-ai-hub/contract-review">205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f653ecbb-a128-42bd-9d1f-e28c13d995a3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59B27E49</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b419e9cc-7c50-4d4f-bc5c-7a9cd2fbf648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59B27E49</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680831c7-e2aa-4703-a027-f1a0625b9591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62DFDE01</paraID>
      <start xmlns="http://schemas.wps.cn/vas-ai-hub/contract-review">244</start>
      <end xmlns="http://schemas.wps.cn/vas-ai-hub/contract-review">245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d0a3a4de-efce-48fd-a115-8e93cd0445fe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62DFDE01</paraID>
      <start xmlns="http://schemas.wps.cn/vas-ai-hub/contract-review">247</start>
      <end xmlns="http://schemas.wps.cn/vas-ai-hub/contract-review">248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e8fed315-8cd7-4541-b05b-94873b6aecc2</errorID>
      <errorWord xmlns="http://schemas.wps.cn/vas-ai-hub/contract-review">、和</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和</item>
      </candidateList>
      <explain xmlns="http://schemas.wps.cn/vas-ai-hub/contract-review">“及”“和”“等”连词前不宜使用顿号，建议删除（或使用逗号）。</explain>
      <paraID xmlns="http://schemas.wps.cn/vas-ai-hub/contract-review">72E416E3</paraID>
      <start xmlns="http://schemas.wps.cn/vas-ai-hub/contract-review">76</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1be2487e-44c5-409f-ab62-7f93274dc3a3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75EC441D</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e247edf9-2b55-4dc2-8fbb-5186bd488ca0</errorID>
      <errorWord xmlns="http://schemas.wps.cn/vas-ai-hub/contract-review">生物多样性保护工程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生物多样性保护重大工程</item>
      </candidateList>
      <explain xmlns="http://schemas.wps.cn/vas-ai-hub/contract-review">词汇“生物多样性保护重大工程”在特定场景下为固定表述形式，请确认此处的“生物多样性保护工程”是否存在不当。</explain>
      <paraID xmlns="http://schemas.wps.cn/vas-ai-hub/contract-review">62F56B46</paraID>
      <start xmlns="http://schemas.wps.cn/vas-ai-hub/contract-review">9</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886ad767-24b5-40d6-abbf-1daf33dbdf56</errorID>
      <errorWord xmlns="http://schemas.wps.cn/vas-ai-hub/contract-review">湿地保护与修复</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湿地保护修复</item>
      </candidateList>
      <explain xmlns="http://schemas.wps.cn/vas-ai-hub/contract-review">词汇“湿地保护修复”在特定场景下为固定表述形式，请确认此处的“湿地保护与修复”是否存在不当。</explain>
      <paraID xmlns="http://schemas.wps.cn/vas-ai-hub/contract-review">21B1B6F7</paraID>
      <start xmlns="http://schemas.wps.cn/vas-ai-hub/contract-review">169</start>
      <end xmlns="http://schemas.wps.cn/vas-ai-hub/contract-review">176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2f6daacc-fb44-4401-97d3-34d4fc6b245e</errorID>
      <errorWord xmlns="http://schemas.wps.cn/vas-ai-hub/contract-review">资源节约循环利用</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资源节约集约利用</item>
      </candidateList>
      <explain xmlns="http://schemas.wps.cn/vas-ai-hub/contract-review">词汇“资源节约集约利用”在特定场景下为固定表述形式，请确认此处的“资源节约循环利用”是否存在不当。</explain>
      <paraID xmlns="http://schemas.wps.cn/vas-ai-hub/contract-review">6ACF0E29</paraID>
      <start xmlns="http://schemas.wps.cn/vas-ai-hub/contract-review">2</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8b1f0be9-af21-4f81-875d-6b3b1769848f</errorID>
      <errorWord xmlns="http://schemas.wps.cn/vas-ai-hub/contract-review">全国碳排放权市场交易</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全国碳排放权交易市场</item>
      </candidateList>
      <explain xmlns="http://schemas.wps.cn/vas-ai-hub/contract-review">词汇“全国碳排放权交易市场”在特定场景下为固定表述形式，请确认此处的“全国碳排放权市场交易”是否存在不当。</explain>
      <paraID xmlns="http://schemas.wps.cn/vas-ai-hub/contract-review">245F3B40</paraID>
      <start xmlns="http://schemas.wps.cn/vas-ai-hub/contract-review">236</start>
      <end xmlns="http://schemas.wps.cn/vas-ai-hub/contract-review">246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9a92d09e-5a97-41b1-9743-dbff3a93503d</errorID>
      <errorWord xmlns="http://schemas.wps.cn/vas-ai-hub/contract-review">全民健身服务体系</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全民健身公共服务体系</item>
      </candidateList>
      <explain xmlns="http://schemas.wps.cn/vas-ai-hub/contract-review"/>
      <paraID xmlns="http://schemas.wps.cn/vas-ai-hub/contract-review">1A8C6D95</paraID>
      <start xmlns="http://schemas.wps.cn/vas-ai-hub/contract-review">2</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0af39192-eb09-4fd2-9a49-f2c76f156fbe</errorID>
      <errorWord xmlns="http://schemas.wps.cn/vas-ai-hub/contract-review">医保支付制度改革</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医保支付方式改革</item>
      </candidateList>
      <explain xmlns="http://schemas.wps.cn/vas-ai-hub/contract-review">词汇“医保支付方式改革”在特定场景下为固定表述形式，请确认此处的“医保支付制度改革”是否存在不当。</explain>
      <paraID xmlns="http://schemas.wps.cn/vas-ai-hub/contract-review">3F65C175</paraID>
      <start xmlns="http://schemas.wps.cn/vas-ai-hub/contract-review">204</start>
      <end xmlns="http://schemas.wps.cn/vas-ai-hub/contract-review">212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6b5c90ce-ebd5-40f9-ae29-b3313fa43b1f</errorID>
      <errorWord xmlns="http://schemas.wps.cn/vas-ai-hub/contract-review">医疗卫生强基工程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医疗卫生“强基工程”</item>
      </candidateList>
      <explain xmlns="http://schemas.wps.cn/vas-ai-hub/contract-review">注意检查当前固定表述标点是否使用规范。</explain>
      <paraID xmlns="http://schemas.wps.cn/vas-ai-hub/contract-review">4193B279</paraID>
      <start xmlns="http://schemas.wps.cn/vas-ai-hub/contract-review">99</start>
      <end xmlns="http://schemas.wps.cn/vas-ai-hub/contract-review">107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7f686a90-b65b-4cab-ad5a-efa012c6fde9</errorID>
      <errorWord xmlns="http://schemas.wps.cn/vas-ai-hub/contract-review">有力防范化解</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有效防范化解</item>
      </candidateList>
      <explain xmlns="http://schemas.wps.cn/vas-ai-hub/contract-review">词汇“有效防范化解”在特定场景下为固定表述形式，请确认此处的“有力防范化解”是否存在不当。</explain>
      <paraID xmlns="http://schemas.wps.cn/vas-ai-hub/contract-review">444A56EB</paraID>
      <start xmlns="http://schemas.wps.cn/vas-ai-hub/contract-review">4</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e3a726f8-7474-4a49-8ba3-46e363ab79cb</errorID>
      <errorWord xmlns="http://schemas.wps.cn/vas-ai-hub/contract-review">法治宣传教育法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中华人民共和国法治宣传教育法</item>
      </candidateList>
      <explain xmlns="http://schemas.wps.cn/vas-ai-hub/contract-review">当前法律法规名称使用简称，请注意是否应当使用全称。</explain>
      <paraID xmlns="http://schemas.wps.cn/vas-ai-hub/contract-review">300E8167</paraID>
      <start xmlns="http://schemas.wps.cn/vas-ai-hub/contract-review">63</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222580f1-6ba5-403b-9870-fdd5530e016d</errorID>
      <errorWord xmlns="http://schemas.wps.cn/vas-ai-hub/contract-review">《宪法》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《中华人民共和国宪法》</item>
      </candidateList>
      <explain xmlns="http://schemas.wps.cn/vas-ai-hub/contract-review"/>
      <paraID xmlns="http://schemas.wps.cn/vas-ai-hub/contract-review">300E8167</paraID>
      <start xmlns="http://schemas.wps.cn/vas-ai-hub/contract-review">74</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19f1ea75-18d9-406b-8973-578973fd5516</errorID>
      <errorWord xmlns="http://schemas.wps.cn/vas-ai-hub/contract-review">《民法典》</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《中华人民共和国民法典》</item>
      </candidateList>
      <explain xmlns="http://schemas.wps.cn/vas-ai-hub/contract-review"/>
      <paraID xmlns="http://schemas.wps.cn/vas-ai-hub/contract-review">300E8167</paraID>
      <start xmlns="http://schemas.wps.cn/vas-ai-hub/contract-review">78</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6294ea6f-9d10-48ff-8db5-9ef7ecceac5f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3A8E5009</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3f231824-511f-43da-b6c2-219a9cced616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3A8E5009</paraID>
      <start xmlns="http://schemas.wps.cn/vas-ai-hub/contract-review">93</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553F77-C05E-4232-8B61-5F9011BF0E55}">
  <ds:schemaRefs/>
</ds:datastoreItem>
</file>

<file path=customXml/itemProps3.xml><?xml version="1.0" encoding="utf-8"?>
<ds:datastoreItem xmlns:ds="http://schemas.openxmlformats.org/officeDocument/2006/customXml" ds:itemID="{C749FB42-09AE-4A53-9FA0-D0DDB044E6B6}">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107</Pages>
  <Words>7366</Words>
  <Characters>7759</Characters>
  <Lines>456</Lines>
  <Paragraphs>128</Paragraphs>
  <TotalTime>4</TotalTime>
  <ScaleCrop>false</ScaleCrop>
  <LinksUpToDate>false</LinksUpToDate>
  <CharactersWithSpaces>8077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2025-12-24T23:16:00Z</dcterms:created>
  <dc:creator>哲 陈</dc:creator>
  <cp:lastModifiedBy>ppts</cp:lastModifiedBy>
  <cp:lastPrinted>2026-05-09T14:54:00Z</cp:lastPrinted>
  <dcterms:modified xsi:type="dcterms:W3CDTF">2026-06-02T15:27:51Z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eyJoZGlkIjoiNjI3YjViNmQ0NjRmZTgzZDUzYWYxOWE3ZGU5ZmUxOTEiLCJ1c2VySWQiOiIyNTc3NzE4MDcifQ==</vt:lpwstr>
  </property>
  <property fmtid="{D5CDD505-2E9C-101B-9397-08002B2CF9AE}" pid="3" name="KSOProductBuildVer">
    <vt:lpwstr>2052-12.1.2.25882</vt:lpwstr>
  </property>
  <property fmtid="{D5CDD505-2E9C-101B-9397-08002B2CF9AE}" pid="4" name="ICV">
    <vt:lpwstr>97C84761844F4AF7941472F77334BD71_13</vt:lpwstr>
  </property>
</Properties>
</file>