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363B47">
      <w:pPr>
        <w:keepNext w:val="0"/>
        <w:keepLines w:val="0"/>
        <w:pageBreakBefore w:val="0"/>
        <w:widowControl w:val="0"/>
        <w:kinsoku/>
        <w:wordWrap/>
        <w:overflowPunct w:val="0"/>
        <w:topLinePunct w:val="0"/>
        <w:autoSpaceDE/>
        <w:autoSpaceDN/>
        <w:bidi w:val="0"/>
        <w:adjustRightInd/>
        <w:snapToGrid/>
        <w:spacing w:line="550" w:lineRule="exact"/>
        <w:ind w:right="0"/>
        <w:jc w:val="left"/>
        <w:textAlignment w:val="auto"/>
        <w:outlineLvl w:val="9"/>
        <w:rPr>
          <w:rFonts w:ascii="黑体" w:hAnsi="黑体" w:eastAsia="黑体" w:cs="黑体"/>
          <w:spacing w:val="-20"/>
          <w:sz w:val="32"/>
          <w:szCs w:val="32"/>
        </w:rPr>
      </w:pPr>
      <w:r>
        <w:rPr>
          <w:rFonts w:hint="eastAsia" w:ascii="黑体" w:hAnsi="黑体" w:eastAsia="黑体" w:cs="黑体"/>
          <w:spacing w:val="-20"/>
          <w:sz w:val="32"/>
          <w:szCs w:val="32"/>
        </w:rPr>
        <w:t>附件1</w:t>
      </w:r>
    </w:p>
    <w:p w14:paraId="1F3F42DB">
      <w:pPr>
        <w:keepNext w:val="0"/>
        <w:keepLines w:val="0"/>
        <w:pageBreakBefore w:val="0"/>
        <w:widowControl w:val="0"/>
        <w:kinsoku/>
        <w:wordWrap/>
        <w:overflowPunct w:val="0"/>
        <w:topLinePunct w:val="0"/>
        <w:autoSpaceDE/>
        <w:autoSpaceDN/>
        <w:bidi w:val="0"/>
        <w:adjustRightInd/>
        <w:snapToGrid/>
        <w:spacing w:line="550" w:lineRule="exact"/>
        <w:ind w:right="0"/>
        <w:jc w:val="center"/>
        <w:textAlignment w:val="auto"/>
        <w:outlineLvl w:val="9"/>
        <w:rPr>
          <w:rFonts w:hint="eastAsia" w:ascii="方正小标宋简体" w:hAnsi="仿宋_GB2312" w:eastAsia="方正小标宋简体" w:cs="仿宋_GB2312"/>
          <w:kern w:val="0"/>
          <w:sz w:val="36"/>
          <w:szCs w:val="36"/>
        </w:rPr>
      </w:pPr>
      <w:r>
        <w:rPr>
          <w:rFonts w:hint="eastAsia" w:ascii="方正小标宋简体" w:hAnsi="仿宋_GB2312" w:eastAsia="方正小标宋简体" w:cs="仿宋_GB2312"/>
          <w:kern w:val="0"/>
          <w:sz w:val="36"/>
          <w:szCs w:val="36"/>
        </w:rPr>
        <w:t>安康市贯彻落实第</w:t>
      </w:r>
      <w:r>
        <w:rPr>
          <w:rFonts w:hint="eastAsia" w:ascii="方正小标宋简体" w:hAnsi="仿宋_GB2312" w:eastAsia="方正小标宋简体" w:cs="仿宋_GB2312"/>
          <w:kern w:val="0"/>
          <w:sz w:val="36"/>
          <w:szCs w:val="36"/>
          <w:lang w:eastAsia="zh-CN"/>
        </w:rPr>
        <w:t>三</w:t>
      </w:r>
      <w:r>
        <w:rPr>
          <w:rFonts w:hint="eastAsia" w:ascii="方正小标宋简体" w:hAnsi="仿宋_GB2312" w:eastAsia="方正小标宋简体" w:cs="仿宋_GB2312"/>
          <w:kern w:val="0"/>
          <w:sz w:val="36"/>
          <w:szCs w:val="36"/>
        </w:rPr>
        <w:t>轮省生态环境保护督察反馈具体问题整改进展情况表</w:t>
      </w:r>
    </w:p>
    <w:p w14:paraId="1D588A28">
      <w:pPr>
        <w:pStyle w:val="16"/>
        <w:keepNext w:val="0"/>
        <w:keepLines w:val="0"/>
        <w:pageBreakBefore w:val="0"/>
        <w:widowControl w:val="0"/>
        <w:kinsoku/>
        <w:wordWrap/>
        <w:overflowPunct w:val="0"/>
        <w:topLinePunct w:val="0"/>
        <w:autoSpaceDE/>
        <w:autoSpaceDN/>
        <w:bidi w:val="0"/>
        <w:adjustRightInd/>
        <w:snapToGrid/>
        <w:spacing w:line="410" w:lineRule="exact"/>
        <w:ind w:firstLine="420"/>
        <w:textAlignment w:val="auto"/>
        <w:outlineLvl w:val="9"/>
      </w:pPr>
    </w:p>
    <w:tbl>
      <w:tblPr>
        <w:tblStyle w:val="17"/>
        <w:tblW w:w="14471"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4702"/>
        <w:gridCol w:w="7371"/>
        <w:gridCol w:w="1418"/>
      </w:tblGrid>
      <w:tr w14:paraId="6DBE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80" w:type="dxa"/>
            <w:shd w:val="clear" w:color="auto" w:fill="auto"/>
            <w:vAlign w:val="center"/>
          </w:tcPr>
          <w:p w14:paraId="395B3783">
            <w:pPr>
              <w:keepNext w:val="0"/>
              <w:keepLines w:val="0"/>
              <w:pageBreakBefore w:val="0"/>
              <w:widowControl/>
              <w:kinsoku/>
              <w:wordWrap/>
              <w:overflowPunct/>
              <w:topLinePunct w:val="0"/>
              <w:bidi w:val="0"/>
              <w:adjustRightInd/>
              <w:snapToGrid/>
              <w:spacing w:line="360" w:lineRule="exact"/>
              <w:ind w:right="0"/>
              <w:jc w:val="center"/>
              <w:textAlignment w:val="auto"/>
              <w:rPr>
                <w:rFonts w:ascii="黑体" w:hAnsi="黑体" w:eastAsia="黑体" w:cs="宋体"/>
                <w:kern w:val="0"/>
                <w:sz w:val="28"/>
                <w:szCs w:val="28"/>
              </w:rPr>
            </w:pPr>
            <w:r>
              <w:rPr>
                <w:rFonts w:hint="eastAsia" w:ascii="黑体" w:hAnsi="黑体" w:eastAsia="黑体" w:cs="宋体"/>
                <w:kern w:val="0"/>
                <w:sz w:val="28"/>
                <w:szCs w:val="28"/>
              </w:rPr>
              <w:t>编号</w:t>
            </w:r>
          </w:p>
        </w:tc>
        <w:tc>
          <w:tcPr>
            <w:tcW w:w="4702" w:type="dxa"/>
            <w:shd w:val="clear" w:color="auto" w:fill="auto"/>
            <w:vAlign w:val="center"/>
          </w:tcPr>
          <w:p w14:paraId="3C40DA53">
            <w:pPr>
              <w:keepNext w:val="0"/>
              <w:keepLines w:val="0"/>
              <w:pageBreakBefore w:val="0"/>
              <w:widowControl/>
              <w:kinsoku/>
              <w:wordWrap/>
              <w:overflowPunct/>
              <w:topLinePunct w:val="0"/>
              <w:bidi w:val="0"/>
              <w:adjustRightInd/>
              <w:snapToGrid/>
              <w:spacing w:line="360" w:lineRule="exact"/>
              <w:ind w:right="0"/>
              <w:jc w:val="center"/>
              <w:textAlignment w:val="auto"/>
              <w:rPr>
                <w:rFonts w:ascii="黑体" w:hAnsi="黑体" w:eastAsia="黑体" w:cs="宋体"/>
                <w:kern w:val="0"/>
                <w:sz w:val="28"/>
                <w:szCs w:val="28"/>
              </w:rPr>
            </w:pPr>
            <w:r>
              <w:rPr>
                <w:rFonts w:hint="eastAsia" w:ascii="黑体" w:hAnsi="黑体" w:eastAsia="黑体" w:cs="宋体"/>
                <w:kern w:val="0"/>
                <w:sz w:val="28"/>
                <w:szCs w:val="28"/>
              </w:rPr>
              <w:t>反馈问题</w:t>
            </w:r>
          </w:p>
        </w:tc>
        <w:tc>
          <w:tcPr>
            <w:tcW w:w="7371" w:type="dxa"/>
            <w:vAlign w:val="center"/>
          </w:tcPr>
          <w:p w14:paraId="0524D4A3">
            <w:pPr>
              <w:keepNext w:val="0"/>
              <w:keepLines w:val="0"/>
              <w:pageBreakBefore w:val="0"/>
              <w:widowControl/>
              <w:kinsoku/>
              <w:wordWrap/>
              <w:overflowPunct/>
              <w:topLinePunct w:val="0"/>
              <w:bidi w:val="0"/>
              <w:adjustRightInd/>
              <w:snapToGrid/>
              <w:spacing w:line="360" w:lineRule="exact"/>
              <w:ind w:right="0"/>
              <w:jc w:val="center"/>
              <w:textAlignment w:val="auto"/>
              <w:rPr>
                <w:rFonts w:ascii="黑体" w:hAnsi="黑体" w:eastAsia="黑体" w:cs="宋体"/>
                <w:kern w:val="0"/>
                <w:sz w:val="28"/>
                <w:szCs w:val="28"/>
              </w:rPr>
            </w:pPr>
            <w:r>
              <w:rPr>
                <w:rFonts w:hint="eastAsia" w:ascii="黑体" w:hAnsi="黑体" w:eastAsia="黑体" w:cs="宋体"/>
                <w:kern w:val="0"/>
                <w:sz w:val="28"/>
                <w:szCs w:val="28"/>
              </w:rPr>
              <w:t>整改进展情况</w:t>
            </w:r>
          </w:p>
        </w:tc>
        <w:tc>
          <w:tcPr>
            <w:tcW w:w="1418" w:type="dxa"/>
            <w:vAlign w:val="center"/>
          </w:tcPr>
          <w:p w14:paraId="23B3E862">
            <w:pPr>
              <w:keepNext w:val="0"/>
              <w:keepLines w:val="0"/>
              <w:pageBreakBefore w:val="0"/>
              <w:widowControl/>
              <w:kinsoku/>
              <w:wordWrap/>
              <w:overflowPunct/>
              <w:topLinePunct w:val="0"/>
              <w:bidi w:val="0"/>
              <w:adjustRightInd/>
              <w:snapToGrid/>
              <w:spacing w:line="360" w:lineRule="exact"/>
              <w:ind w:right="0"/>
              <w:jc w:val="center"/>
              <w:textAlignment w:val="auto"/>
              <w:rPr>
                <w:rFonts w:ascii="黑体" w:hAnsi="黑体" w:eastAsia="黑体" w:cs="宋体"/>
                <w:kern w:val="0"/>
                <w:sz w:val="28"/>
                <w:szCs w:val="28"/>
              </w:rPr>
            </w:pPr>
            <w:r>
              <w:rPr>
                <w:rFonts w:hint="eastAsia" w:ascii="黑体" w:hAnsi="黑体" w:eastAsia="黑体" w:cs="宋体"/>
                <w:kern w:val="0"/>
                <w:sz w:val="28"/>
                <w:szCs w:val="28"/>
              </w:rPr>
              <w:t>是否完成</w:t>
            </w:r>
          </w:p>
        </w:tc>
      </w:tr>
      <w:tr w14:paraId="41D9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1" w:hRule="atLeast"/>
        </w:trPr>
        <w:tc>
          <w:tcPr>
            <w:tcW w:w="980" w:type="dxa"/>
            <w:shd w:val="clear" w:color="auto" w:fill="auto"/>
            <w:vAlign w:val="center"/>
          </w:tcPr>
          <w:p w14:paraId="3C2064CC">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w:t>
            </w:r>
          </w:p>
        </w:tc>
        <w:tc>
          <w:tcPr>
            <w:tcW w:w="4702" w:type="dxa"/>
            <w:shd w:val="clear" w:color="auto" w:fill="auto"/>
            <w:vAlign w:val="center"/>
          </w:tcPr>
          <w:p w14:paraId="6D9B7E6C">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个别干部对习近平生态文明思想的核心要义和精神实质学习领会不够深刻，对高质量发展与高水平保护的辩证关系认识不到位，在共抓经济发展和生态环境保护上方法不够多、措施不够有力。部分</w:t>
            </w:r>
            <w:r>
              <w:rPr>
                <w:rFonts w:hint="eastAsia" w:ascii="仿宋_GB2312" w:hAnsi="仿宋_GB2312" w:eastAsia="仿宋_GB2312" w:cs="仿宋_GB2312"/>
                <w:kern w:val="0"/>
                <w:sz w:val="22"/>
                <w:szCs w:val="22"/>
                <w:lang w:eastAsia="zh-CN"/>
              </w:rPr>
              <w:t>县（市、区）</w:t>
            </w:r>
            <w:r>
              <w:rPr>
                <w:rFonts w:hint="eastAsia" w:ascii="仿宋_GB2312" w:hAnsi="仿宋_GB2312" w:eastAsia="仿宋_GB2312" w:cs="仿宋_GB2312"/>
                <w:kern w:val="0"/>
                <w:sz w:val="22"/>
                <w:szCs w:val="22"/>
              </w:rPr>
              <w:t>认为安康生态环境质量本底值较好，对安康环境质量长期排名全省前列存在自我满足、盲目乐观，没有完全认识到生态环境保护的长期性、紧迫性和艰巨性，存在松劲心态和厌战情绪。</w:t>
            </w:r>
          </w:p>
        </w:tc>
        <w:tc>
          <w:tcPr>
            <w:tcW w:w="7371" w:type="dxa"/>
            <w:vAlign w:val="center"/>
          </w:tcPr>
          <w:p w14:paraId="2F2C6D8A">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安康市委常委会、</w:t>
            </w:r>
            <w:r>
              <w:rPr>
                <w:rFonts w:hint="eastAsia" w:ascii="仿宋_GB2312" w:hAnsi="仿宋_GB2312" w:eastAsia="仿宋_GB2312" w:cs="仿宋_GB2312"/>
                <w:kern w:val="0"/>
                <w:sz w:val="22"/>
                <w:szCs w:val="22"/>
                <w:lang w:eastAsia="zh-CN"/>
              </w:rPr>
              <w:t>市政府常务会议</w:t>
            </w:r>
            <w:r>
              <w:rPr>
                <w:rFonts w:hint="eastAsia" w:ascii="仿宋_GB2312" w:hAnsi="仿宋_GB2312" w:eastAsia="仿宋_GB2312" w:cs="仿宋_GB2312"/>
                <w:kern w:val="0"/>
                <w:sz w:val="22"/>
                <w:szCs w:val="22"/>
              </w:rPr>
              <w:t>深入学习贯彻习近平生态文明思想，各级党委（党组）理论学习中心组每年组织学习4次以上。将辖区和部门生态环境保护职责落实情况纳入市对各县（市、区）和市级有关部门年度目标责任负面清单进行严格考核，全市每年召开1次生态环境保护工作大会，市政府累计召开全市污染防治攻坚调度会50余次。全面推行生态环境分区管控，严守自然生态安全边界，强化事前事中监管，将“三线一单”硬约束作为综合决策的前提条件，改善结构、调优布局，严控</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两高</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建设项目。</w:t>
            </w:r>
          </w:p>
        </w:tc>
        <w:tc>
          <w:tcPr>
            <w:tcW w:w="1418" w:type="dxa"/>
            <w:vAlign w:val="center"/>
          </w:tcPr>
          <w:p w14:paraId="2C7B0A70">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立行立改</w:t>
            </w:r>
          </w:p>
          <w:p w14:paraId="6CE91D7F">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长期坚持</w:t>
            </w:r>
          </w:p>
        </w:tc>
      </w:tr>
      <w:tr w14:paraId="79CF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980" w:type="dxa"/>
            <w:shd w:val="clear" w:color="auto" w:fill="auto"/>
            <w:vAlign w:val="center"/>
          </w:tcPr>
          <w:p w14:paraId="787AD69C">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w:t>
            </w:r>
          </w:p>
        </w:tc>
        <w:tc>
          <w:tcPr>
            <w:tcW w:w="4702" w:type="dxa"/>
            <w:shd w:val="clear" w:color="auto" w:fill="auto"/>
            <w:vAlign w:val="center"/>
          </w:tcPr>
          <w:p w14:paraId="0279331E">
            <w:pPr>
              <w:keepNext w:val="0"/>
              <w:keepLines w:val="0"/>
              <w:pageBreakBefore w:val="0"/>
              <w:widowControl/>
              <w:kinsoku/>
              <w:wordWrap/>
              <w:overflowPunct/>
              <w:topLinePunct w:val="0"/>
              <w:autoSpaceDE/>
              <w:autoSpaceDN/>
              <w:bidi w:val="0"/>
              <w:adjustRightInd/>
              <w:snapToGrid/>
              <w:spacing w:line="32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督察发现，安康市对6个县</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市、区</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年度目标责任考核中，生态环境工作指标权重2022年至2024年占比呈下降趋势。</w:t>
            </w:r>
          </w:p>
        </w:tc>
        <w:tc>
          <w:tcPr>
            <w:tcW w:w="7371" w:type="dxa"/>
            <w:vAlign w:val="center"/>
          </w:tcPr>
          <w:p w14:paraId="7CBF98B5">
            <w:pPr>
              <w:keepNext w:val="0"/>
              <w:keepLines w:val="0"/>
              <w:pageBreakBefore w:val="0"/>
              <w:widowControl/>
              <w:kinsoku/>
              <w:wordWrap/>
              <w:overflowPunct/>
              <w:topLinePunct w:val="0"/>
              <w:autoSpaceDE/>
              <w:autoSpaceDN/>
              <w:bidi w:val="0"/>
              <w:adjustRightInd/>
              <w:snapToGrid/>
              <w:spacing w:line="32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2025年4月22日，印发《各县（市、区）、市直部门、中央和省级驻安单位2025年度目标责任考核指标》，将生态环保核心指标以及中央和省级生态环保督察反馈问题整改纳入考核。</w:t>
            </w:r>
          </w:p>
        </w:tc>
        <w:tc>
          <w:tcPr>
            <w:tcW w:w="1418" w:type="dxa"/>
            <w:vAlign w:val="center"/>
          </w:tcPr>
          <w:p w14:paraId="6FA8CFF6">
            <w:pPr>
              <w:keepNext w:val="0"/>
              <w:keepLines w:val="0"/>
              <w:pageBreakBefore w:val="0"/>
              <w:widowControl/>
              <w:kinsoku/>
              <w:wordWrap/>
              <w:overflowPunct/>
              <w:topLinePunct w:val="0"/>
              <w:autoSpaceDE/>
              <w:autoSpaceDN/>
              <w:bidi w:val="0"/>
              <w:adjustRightInd/>
              <w:snapToGrid/>
              <w:spacing w:line="320" w:lineRule="exact"/>
              <w:ind w:right="0"/>
              <w:jc w:val="center"/>
              <w:textAlignment w:val="auto"/>
              <w:outlineLvl w:val="9"/>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立行立改</w:t>
            </w:r>
          </w:p>
          <w:p w14:paraId="1EFEEE1B">
            <w:pPr>
              <w:keepNext w:val="0"/>
              <w:keepLines w:val="0"/>
              <w:pageBreakBefore w:val="0"/>
              <w:widowControl/>
              <w:kinsoku/>
              <w:wordWrap/>
              <w:overflowPunct/>
              <w:topLinePunct w:val="0"/>
              <w:autoSpaceDE/>
              <w:autoSpaceDN/>
              <w:bidi w:val="0"/>
              <w:adjustRightInd/>
              <w:snapToGrid/>
              <w:spacing w:line="320" w:lineRule="exact"/>
              <w:ind w:right="0"/>
              <w:jc w:val="center"/>
              <w:textAlignment w:val="auto"/>
              <w:outlineLvl w:val="9"/>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长期坚持</w:t>
            </w:r>
          </w:p>
        </w:tc>
      </w:tr>
      <w:tr w14:paraId="27AE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980" w:type="dxa"/>
            <w:shd w:val="clear" w:color="auto" w:fill="auto"/>
            <w:vAlign w:val="center"/>
          </w:tcPr>
          <w:p w14:paraId="0C9FFAEE">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3</w:t>
            </w:r>
          </w:p>
        </w:tc>
        <w:tc>
          <w:tcPr>
            <w:tcW w:w="4702" w:type="dxa"/>
            <w:shd w:val="clear" w:color="auto" w:fill="auto"/>
            <w:vAlign w:val="center"/>
          </w:tcPr>
          <w:p w14:paraId="7AD033F3">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汉滨区、石泉县、镇坪县于2024年撤销了本级生态环境保护委员会。</w:t>
            </w:r>
          </w:p>
        </w:tc>
        <w:tc>
          <w:tcPr>
            <w:tcW w:w="7371" w:type="dxa"/>
            <w:vAlign w:val="center"/>
          </w:tcPr>
          <w:p w14:paraId="42A10C8E">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sz w:val="22"/>
                <w:szCs w:val="22"/>
              </w:rPr>
              <w:t>汉滨区、石泉县、镇坪县已设立生态环境保护委员会。</w:t>
            </w:r>
          </w:p>
        </w:tc>
        <w:tc>
          <w:tcPr>
            <w:tcW w:w="1418" w:type="dxa"/>
            <w:vAlign w:val="center"/>
          </w:tcPr>
          <w:p w14:paraId="0DB42875">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已完成整改</w:t>
            </w:r>
          </w:p>
        </w:tc>
      </w:tr>
      <w:tr w14:paraId="1F0D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7" w:hRule="atLeast"/>
        </w:trPr>
        <w:tc>
          <w:tcPr>
            <w:tcW w:w="980" w:type="dxa"/>
            <w:shd w:val="clear" w:color="auto" w:fill="auto"/>
            <w:vAlign w:val="center"/>
          </w:tcPr>
          <w:p w14:paraId="12627F49">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4</w:t>
            </w:r>
          </w:p>
        </w:tc>
        <w:tc>
          <w:tcPr>
            <w:tcW w:w="4702" w:type="dxa"/>
            <w:shd w:val="clear" w:color="auto" w:fill="auto"/>
            <w:vAlign w:val="center"/>
          </w:tcPr>
          <w:p w14:paraId="7F3B4111">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截至督察时，安康市工业和信息化局、水利局等8个部门未按《陕西省推动职能部门做好生态环境保护工作的若干措施》要求，制定公示生态环境保护具体事项清单、建立生态环境问题公众举报受理和处理机制。</w:t>
            </w:r>
          </w:p>
        </w:tc>
        <w:tc>
          <w:tcPr>
            <w:tcW w:w="7371" w:type="dxa"/>
            <w:vAlign w:val="center"/>
          </w:tcPr>
          <w:p w14:paraId="4E544B93">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市工信局、市水利局、市司法局、市公安局、市商务局、市审计局、</w:t>
            </w:r>
            <w:r>
              <w:rPr>
                <w:rFonts w:hint="eastAsia" w:ascii="仿宋_GB2312" w:hAnsi="仿宋_GB2312" w:eastAsia="仿宋_GB2312" w:cs="仿宋_GB2312"/>
                <w:kern w:val="0"/>
                <w:sz w:val="22"/>
                <w:szCs w:val="22"/>
                <w:lang w:eastAsia="zh-CN"/>
              </w:rPr>
              <w:t>市中级人民法院</w:t>
            </w:r>
            <w:r>
              <w:rPr>
                <w:rFonts w:hint="eastAsia" w:ascii="仿宋_GB2312" w:hAnsi="仿宋_GB2312" w:eastAsia="仿宋_GB2312" w:cs="仿宋_GB2312"/>
                <w:kern w:val="0"/>
                <w:sz w:val="22"/>
                <w:szCs w:val="22"/>
              </w:rPr>
              <w:t>、</w:t>
            </w:r>
            <w:r>
              <w:rPr>
                <w:rFonts w:hint="eastAsia" w:ascii="仿宋_GB2312" w:hAnsi="仿宋_GB2312" w:eastAsia="仿宋_GB2312" w:cs="仿宋_GB2312"/>
                <w:kern w:val="0"/>
                <w:sz w:val="22"/>
                <w:szCs w:val="22"/>
                <w:lang w:eastAsia="zh-CN"/>
              </w:rPr>
              <w:t>市人民检察院</w:t>
            </w:r>
            <w:r>
              <w:rPr>
                <w:rFonts w:hint="eastAsia" w:ascii="仿宋_GB2312" w:hAnsi="仿宋_GB2312" w:eastAsia="仿宋_GB2312" w:cs="仿宋_GB2312"/>
                <w:kern w:val="0"/>
                <w:sz w:val="22"/>
                <w:szCs w:val="22"/>
              </w:rPr>
              <w:t>已分别制定本部门生态环境保护具体事项清单、建立生态环境问题公众举报受理和处理机制</w:t>
            </w:r>
            <w:r>
              <w:rPr>
                <w:rFonts w:hint="eastAsia" w:ascii="仿宋_GB2312" w:hAnsi="仿宋_GB2312" w:eastAsia="仿宋_GB2312" w:cs="仿宋_GB2312"/>
                <w:kern w:val="0"/>
                <w:sz w:val="22"/>
                <w:szCs w:val="22"/>
                <w:lang w:eastAsia="zh-CN"/>
              </w:rPr>
              <w:t>，并</w:t>
            </w:r>
            <w:r>
              <w:rPr>
                <w:rFonts w:hint="eastAsia" w:ascii="仿宋_GB2312" w:hAnsi="仿宋_GB2312" w:eastAsia="仿宋_GB2312" w:cs="仿宋_GB2312"/>
                <w:kern w:val="0"/>
                <w:sz w:val="22"/>
                <w:szCs w:val="22"/>
              </w:rPr>
              <w:t>在本部门网站予以公示。</w:t>
            </w:r>
          </w:p>
        </w:tc>
        <w:tc>
          <w:tcPr>
            <w:tcW w:w="1418" w:type="dxa"/>
            <w:vAlign w:val="center"/>
          </w:tcPr>
          <w:p w14:paraId="6AB53D82">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已完成整改</w:t>
            </w:r>
          </w:p>
        </w:tc>
      </w:tr>
      <w:tr w14:paraId="10A4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0" w:type="dxa"/>
            <w:shd w:val="clear" w:color="auto" w:fill="auto"/>
            <w:vAlign w:val="center"/>
          </w:tcPr>
          <w:p w14:paraId="14D05EFF">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5</w:t>
            </w:r>
          </w:p>
        </w:tc>
        <w:tc>
          <w:tcPr>
            <w:tcW w:w="4702" w:type="dxa"/>
            <w:shd w:val="clear" w:color="auto" w:fill="auto"/>
            <w:vAlign w:val="center"/>
          </w:tcPr>
          <w:p w14:paraId="1C7F3787">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督察发现，安康高新区建民污水处理厂进厂管网污水溢流，大量未经处理生活污水外排形成一处约8亩的黑臭水体。恒口示范区余岭村居民生活污水未有效收集，直排月河支流南沟河。汉滨区西安铁路局安康机务段生活污水直排路边沟渠问题长期存在；江北水电三局家属院化粪池污水长期直排；316国道晏家饭庄旁形成一条长约1公里的污水沟，污水检测结果显示，化学需氧量、氨氮、总磷分别超过地表水环境质量Ⅲ类标准9.9倍、31.4倍、17.5倍；秦阳晨原种猪有限公司粪污管道破损渗漏，群众反复投诉。</w:t>
            </w:r>
          </w:p>
        </w:tc>
        <w:tc>
          <w:tcPr>
            <w:tcW w:w="7371" w:type="dxa"/>
            <w:vAlign w:val="center"/>
          </w:tcPr>
          <w:p w14:paraId="68C57C4F">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高新区：</w:t>
            </w:r>
            <w:r>
              <w:rPr>
                <w:rFonts w:hint="eastAsia" w:ascii="仿宋_GB2312" w:hAnsi="仿宋_GB2312" w:eastAsia="仿宋_GB2312" w:cs="仿宋_GB2312"/>
                <w:kern w:val="0"/>
                <w:sz w:val="22"/>
                <w:szCs w:val="22"/>
                <w:lang w:val="en-US" w:eastAsia="zh-CN"/>
              </w:rPr>
              <w:t>建民污水处理厂二期扩容工程建成投运，日处理能力提升至3万吨，当前处理能力已覆盖区域内污水产生量。</w:t>
            </w:r>
          </w:p>
          <w:p w14:paraId="2E74691D">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汉滨区：关于“西安铁路局机务段生活污水直排”问题，安康机务段采取应急措施将生活污水统一收集后转运至江南污水处理厂进行规范处理；关于“水电三局化粪池”问题，已建设化粪池</w:t>
            </w:r>
            <w:r>
              <w:rPr>
                <w:rFonts w:hint="eastAsia" w:ascii="仿宋_GB2312" w:hAnsi="仿宋_GB2312" w:eastAsia="仿宋_GB2312" w:cs="仿宋_GB2312"/>
                <w:kern w:val="0"/>
                <w:sz w:val="22"/>
                <w:szCs w:val="22"/>
                <w:lang w:eastAsia="zh-CN"/>
              </w:rPr>
              <w:t>，使</w:t>
            </w:r>
            <w:r>
              <w:rPr>
                <w:rFonts w:hint="eastAsia" w:ascii="仿宋_GB2312" w:hAnsi="仿宋_GB2312" w:eastAsia="仿宋_GB2312" w:cs="仿宋_GB2312"/>
                <w:kern w:val="0"/>
                <w:sz w:val="22"/>
                <w:szCs w:val="22"/>
              </w:rPr>
              <w:t>用提升泵提升至为解决“316国道晏家饭庄旁污水沟”问题所修建的人工湿地进行处理；关于“316国道晏家饭庄旁污水沟”问题，对污水沟进行了清掏，新建一处日处理能力30</w:t>
            </w:r>
            <w:r>
              <w:rPr>
                <w:rFonts w:hint="eastAsia" w:ascii="仿宋_GB2312" w:hAnsi="仿宋_GB2312" w:eastAsia="仿宋_GB2312" w:cs="仿宋_GB2312"/>
                <w:kern w:val="0"/>
                <w:sz w:val="22"/>
                <w:szCs w:val="22"/>
                <w:lang w:eastAsia="zh-CN"/>
              </w:rPr>
              <w:t>立方米</w:t>
            </w:r>
            <w:r>
              <w:rPr>
                <w:rFonts w:hint="eastAsia" w:ascii="仿宋_GB2312" w:hAnsi="仿宋_GB2312" w:eastAsia="仿宋_GB2312" w:cs="仿宋_GB2312"/>
                <w:kern w:val="0"/>
                <w:sz w:val="22"/>
                <w:szCs w:val="22"/>
              </w:rPr>
              <w:t>三格式化粪池及一处人工湿地污水处理设施；关于“秦阳晨粪污管网破损”问题，秦阳晨原种猪有限公司已对破损的管道进行修复，公司按要求规范处置及利用生产的粪污；明确专人负责，定期对管网及周边环境进行巡查，防止此问题再次发生。</w:t>
            </w:r>
          </w:p>
          <w:p w14:paraId="0898BB2D">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恒口示范区：已沿南沟河道铺设管道368米，将沿南沟河下游沿岸居民的生活污水收集接入余岭村污水处理站管网中处理，南沟河下游居民生活污水已基本得到治理。</w:t>
            </w:r>
          </w:p>
        </w:tc>
        <w:tc>
          <w:tcPr>
            <w:tcW w:w="1418" w:type="dxa"/>
            <w:vAlign w:val="center"/>
          </w:tcPr>
          <w:p w14:paraId="59211093">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已完成整改</w:t>
            </w:r>
          </w:p>
        </w:tc>
      </w:tr>
      <w:tr w14:paraId="031B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0" w:hRule="atLeast"/>
        </w:trPr>
        <w:tc>
          <w:tcPr>
            <w:tcW w:w="980" w:type="dxa"/>
            <w:shd w:val="clear" w:color="auto" w:fill="auto"/>
            <w:vAlign w:val="center"/>
          </w:tcPr>
          <w:p w14:paraId="251EA520">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6</w:t>
            </w:r>
          </w:p>
        </w:tc>
        <w:tc>
          <w:tcPr>
            <w:tcW w:w="4702" w:type="dxa"/>
            <w:shd w:val="clear" w:color="auto" w:fill="auto"/>
            <w:vAlign w:val="center"/>
          </w:tcPr>
          <w:p w14:paraId="26D82C6D">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第二轮省生态环境保护督察反馈安康市“船舶污染防治设施配备不到位”问题整改质量不高，尤其是反馈的船舶设施污染问题，整改方案要求市交通部门牵头于2022年5月31日前完成船舶污染防治设施改造，截至督察时，全市865艘船舶仅有194艘完成改造，完成率仅为22.4%。</w:t>
            </w:r>
          </w:p>
        </w:tc>
        <w:tc>
          <w:tcPr>
            <w:tcW w:w="7371" w:type="dxa"/>
            <w:vAlign w:val="center"/>
          </w:tcPr>
          <w:p w14:paraId="375042C8">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市交通局组织相关县（市、区）、瀛湖生态旅游区严格按照《400总吨以下内河船舶水污染防治管理办法》自查整改，通过严把船舶检验（运营船舶每年需进行一次检验）关口推进全市营运船舶防污染设施改造，要求船长20米以上船舶必须安装生活污水储存柜，船长大于5米但小于20米的船舶必须配备有污水储存容器，未按规范要求完成防污设施改造的不予签发船舶检验证书。</w:t>
            </w:r>
          </w:p>
          <w:p w14:paraId="7D543F7C">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经各县（市、区）、瀛湖生态旅游区排查整改，全市在营船舶522艘，其中船长20米以上船舶（249艘）全部完成防污设施改造（安装具有粉碎、传输管系功能的污水柜）；船长20米以下船舶（273艘）均按规范要求配备生活污水收集容器（污水桶）。</w:t>
            </w:r>
          </w:p>
        </w:tc>
        <w:tc>
          <w:tcPr>
            <w:tcW w:w="1418" w:type="dxa"/>
            <w:vAlign w:val="center"/>
          </w:tcPr>
          <w:p w14:paraId="551F95FE">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已完成整改</w:t>
            </w:r>
          </w:p>
        </w:tc>
      </w:tr>
      <w:tr w14:paraId="1FFA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0" w:hRule="atLeast"/>
        </w:trPr>
        <w:tc>
          <w:tcPr>
            <w:tcW w:w="980" w:type="dxa"/>
            <w:shd w:val="clear" w:color="auto" w:fill="auto"/>
            <w:vAlign w:val="center"/>
          </w:tcPr>
          <w:p w14:paraId="57D22503">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7</w:t>
            </w:r>
          </w:p>
        </w:tc>
        <w:tc>
          <w:tcPr>
            <w:tcW w:w="4702" w:type="dxa"/>
            <w:shd w:val="clear" w:color="auto" w:fill="auto"/>
            <w:vAlign w:val="center"/>
          </w:tcPr>
          <w:p w14:paraId="38CEE0A4">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紫阳县汉王镇污水处理厂未取得环评手续；汉阴县涧池工业园区污水处理站、蒲溪工业园区污水处理站部分时段出水浓度大于进水浓度。督察还发现，石泉县南区生活垃圾填埋场渗滤液处理站未正常运行，部分渗滤液直排沟渠；岚皋县康渝高铁3标段2号水泥拌合站沉淀池未正常运行，污水溢流农田。</w:t>
            </w:r>
          </w:p>
        </w:tc>
        <w:tc>
          <w:tcPr>
            <w:tcW w:w="7371" w:type="dxa"/>
            <w:vAlign w:val="center"/>
          </w:tcPr>
          <w:p w14:paraId="0F1DDA8B">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紫阳县：《紫阳县汉王镇污水处理厂提升改造工程环评报告表》已于2025年1月获得安康市生态环境局紫阳分局批复（以紫环发</w:t>
            </w:r>
            <w:r>
              <w:rPr>
                <w:rFonts w:hint="eastAsia" w:ascii="仿宋_GB2312" w:hAnsi="仿宋_GB2312" w:eastAsia="仿宋_GB2312" w:cs="仿宋_GB2312"/>
                <w:kern w:val="0"/>
                <w:sz w:val="22"/>
                <w:szCs w:val="22"/>
                <w:lang w:eastAsia="zh-CN"/>
              </w:rPr>
              <w:t>〔2025〕2号</w:t>
            </w:r>
            <w:r>
              <w:rPr>
                <w:rFonts w:hint="eastAsia" w:ascii="仿宋_GB2312" w:hAnsi="仿宋_GB2312" w:eastAsia="仿宋_GB2312" w:cs="仿宋_GB2312"/>
                <w:kern w:val="0"/>
                <w:sz w:val="22"/>
                <w:szCs w:val="22"/>
              </w:rPr>
              <w:t>）。</w:t>
            </w:r>
          </w:p>
          <w:p w14:paraId="0F12058A">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汉阴县：1.针对出水浓度大于进水浓度问题，对经开区雨水污水管网进行了全面排查整治，确保所有污水应收尽收，从源头杜绝了雨污混流；2.更换了在线监测、场站运维、第三方检测服务机构，两个污水</w:t>
            </w:r>
            <w:r>
              <w:rPr>
                <w:rFonts w:hint="eastAsia" w:ascii="仿宋_GB2312" w:hAnsi="仿宋_GB2312" w:eastAsia="仿宋_GB2312" w:cs="仿宋_GB2312"/>
                <w:kern w:val="0"/>
                <w:sz w:val="22"/>
                <w:szCs w:val="22"/>
                <w:lang w:eastAsia="zh-CN"/>
              </w:rPr>
              <w:t>处理厂</w:t>
            </w:r>
            <w:r>
              <w:rPr>
                <w:rFonts w:hint="eastAsia" w:ascii="仿宋_GB2312" w:hAnsi="仿宋_GB2312" w:eastAsia="仿宋_GB2312" w:cs="仿宋_GB2312"/>
                <w:kern w:val="0"/>
                <w:sz w:val="22"/>
                <w:szCs w:val="22"/>
              </w:rPr>
              <w:t>各配备1名专业技术人员和1名协助管理人员，提升了运维管理水平；3.对原有工艺系统进行了调整优化</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更换了曝气头和搅拌器，调整气量和污泥</w:t>
            </w:r>
            <w:r>
              <w:rPr>
                <w:rFonts w:hint="eastAsia" w:ascii="仿宋_GB2312" w:hAnsi="仿宋_GB2312" w:eastAsia="仿宋_GB2312" w:cs="仿宋_GB2312"/>
                <w:kern w:val="0"/>
                <w:sz w:val="22"/>
                <w:szCs w:val="22"/>
                <w:lang w:eastAsia="zh-CN"/>
              </w:rPr>
              <w:t>量</w:t>
            </w:r>
            <w:r>
              <w:rPr>
                <w:rFonts w:hint="eastAsia" w:ascii="仿宋_GB2312" w:hAnsi="仿宋_GB2312" w:eastAsia="仿宋_GB2312" w:cs="仿宋_GB2312"/>
                <w:kern w:val="0"/>
                <w:sz w:val="22"/>
                <w:szCs w:val="22"/>
              </w:rPr>
              <w:t>，定期清洗管道、沉淀池，</w:t>
            </w:r>
            <w:r>
              <w:rPr>
                <w:rFonts w:hint="eastAsia" w:ascii="仿宋_GB2312" w:hAnsi="仿宋_GB2312" w:eastAsia="仿宋_GB2312" w:cs="仿宋_GB2312"/>
                <w:kern w:val="0"/>
                <w:sz w:val="22"/>
                <w:szCs w:val="22"/>
                <w:lang w:eastAsia="zh-CN"/>
              </w:rPr>
              <w:t>防止</w:t>
            </w:r>
            <w:r>
              <w:rPr>
                <w:rFonts w:hint="eastAsia" w:ascii="仿宋_GB2312" w:hAnsi="仿宋_GB2312" w:eastAsia="仿宋_GB2312" w:cs="仿宋_GB2312"/>
                <w:kern w:val="0"/>
                <w:sz w:val="22"/>
                <w:szCs w:val="22"/>
              </w:rPr>
              <w:t>污泥淤积导致返混；4.委托第三方机构每半年校验自动在线监测设备，确保数据真实；5.加入智能监控、实时数据检测和异常预警，确保及时发现问题及时整改。同时加强对第三方运维服务机构监管力度和加大日常随机抽查检查频次，确保场站运维规范、运行稳定。截至目前，经开区两个污水处理站进出口水浓度已恢复正常，未出现出水浓度大于进水浓度问题，处理站出水持续稳定达标。该问题已全部整改到位。</w:t>
            </w:r>
          </w:p>
          <w:p w14:paraId="21C59FA5">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石泉县：已拆除废弃连接管，封堵废弃管口，并对排气阀完成改造，采用专用管道将喷溅渗滤液</w:t>
            </w:r>
            <w:r>
              <w:rPr>
                <w:rFonts w:hint="eastAsia" w:ascii="仿宋_GB2312" w:hAnsi="仿宋_GB2312" w:eastAsia="仿宋_GB2312" w:cs="仿宋_GB2312"/>
                <w:kern w:val="0"/>
                <w:sz w:val="22"/>
                <w:szCs w:val="22"/>
                <w:lang w:eastAsia="zh-CN"/>
              </w:rPr>
              <w:t>导入</w:t>
            </w:r>
            <w:r>
              <w:rPr>
                <w:rFonts w:hint="eastAsia" w:ascii="仿宋_GB2312" w:hAnsi="仿宋_GB2312" w:eastAsia="仿宋_GB2312" w:cs="仿宋_GB2312"/>
                <w:kern w:val="0"/>
                <w:sz w:val="22"/>
                <w:szCs w:val="22"/>
              </w:rPr>
              <w:t>收集池，同时已加装监控设施，严格规范操作流程。</w:t>
            </w:r>
          </w:p>
          <w:p w14:paraId="33A759AD">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岚皋县：已在收集池安装水泵和液位开关，收集池内水由水泵抽至沉淀池循环利用。</w:t>
            </w:r>
          </w:p>
        </w:tc>
        <w:tc>
          <w:tcPr>
            <w:tcW w:w="1418" w:type="dxa"/>
            <w:vAlign w:val="center"/>
          </w:tcPr>
          <w:p w14:paraId="028096DC">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已完成整改</w:t>
            </w:r>
          </w:p>
        </w:tc>
      </w:tr>
      <w:tr w14:paraId="345C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0" w:hRule="atLeast"/>
        </w:trPr>
        <w:tc>
          <w:tcPr>
            <w:tcW w:w="980" w:type="dxa"/>
            <w:shd w:val="clear" w:color="auto" w:fill="auto"/>
            <w:vAlign w:val="center"/>
          </w:tcPr>
          <w:p w14:paraId="1BA10C81">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8</w:t>
            </w:r>
          </w:p>
        </w:tc>
        <w:tc>
          <w:tcPr>
            <w:tcW w:w="4702" w:type="dxa"/>
            <w:shd w:val="clear" w:color="auto" w:fill="auto"/>
            <w:vAlign w:val="center"/>
          </w:tcPr>
          <w:p w14:paraId="0D5A54FA">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安康市医疗废物处置中心将2022年以来收集含“标本”的病理性废物24.7吨，交由当地殡仪馆焚烧处置。安康市中心医院将2.8吨病理科废液以“实验室废液”名义交由水泥企业处置。安康市中心医院</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北院区</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、安康市妇幼保健医院均存在医疗废物暂存间分区贮存不规范、未按箱体标识装存对应的医疗废物等问题。安康市中医医院高新分院、白河县第二医院医疗废物暂存未做到日产日清。</w:t>
            </w:r>
          </w:p>
        </w:tc>
        <w:tc>
          <w:tcPr>
            <w:tcW w:w="7371" w:type="dxa"/>
            <w:vAlign w:val="center"/>
          </w:tcPr>
          <w:p w14:paraId="5CEB3E8C">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rPr>
              <w:t>市中心医院按规定将剩余病理科废液移交市医废处置中心，使用改造合格的化学性废物暂存间进行暂存。市中心医院</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北院区</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、市妇幼保健院改造、新建规范医废暂存间。市中医医院高新分院、白河县第二医院</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白河县茅坪中心卫生院</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已做到医废“日产日清”。</w:t>
            </w:r>
          </w:p>
        </w:tc>
        <w:tc>
          <w:tcPr>
            <w:tcW w:w="1418" w:type="dxa"/>
            <w:vAlign w:val="center"/>
          </w:tcPr>
          <w:p w14:paraId="76872B05">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已完成整改</w:t>
            </w:r>
          </w:p>
        </w:tc>
      </w:tr>
      <w:tr w14:paraId="2C1F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5" w:hRule="atLeast"/>
        </w:trPr>
        <w:tc>
          <w:tcPr>
            <w:tcW w:w="980" w:type="dxa"/>
            <w:shd w:val="clear" w:color="auto" w:fill="auto"/>
            <w:vAlign w:val="center"/>
          </w:tcPr>
          <w:p w14:paraId="2C3C0F41">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9</w:t>
            </w:r>
          </w:p>
        </w:tc>
        <w:tc>
          <w:tcPr>
            <w:tcW w:w="4702" w:type="dxa"/>
            <w:shd w:val="clear" w:color="auto" w:fill="auto"/>
            <w:vAlign w:val="center"/>
          </w:tcPr>
          <w:p w14:paraId="28FF63E8">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行政审批部门核发排污许可证质量不高，2024年省级部门组织抽查安康市排污许可证19个，有18个存在污染物排放标准及限值错误、许可排放量错误等“重点问题”；陕西华禾柏生物科技有限公司等5家企业许可排放量不准确。</w:t>
            </w:r>
          </w:p>
        </w:tc>
        <w:tc>
          <w:tcPr>
            <w:tcW w:w="7371" w:type="dxa"/>
            <w:vAlign w:val="center"/>
          </w:tcPr>
          <w:p w14:paraId="47DA764D">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1.第三轮省生态环境保护督察反馈24家排污许可证存在的问题已全面进行整改，其中23家企业经验收认定为合格，陕西华禾柏生物科技有限公司排污许可证已于2025年1月5日变更，对反馈问题根据实际情况进行了整改，该厂自2月5日起停止排放污染物，企业对全厂废水、废气治理进行提标改造，重新申请排污许可证。</w:t>
            </w:r>
          </w:p>
          <w:p w14:paraId="1B9C74C1">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2.2025年3月14日，对第三方技术服务机构进行约谈，要求其进一步提升服务，保障排污许可证核发质量。</w:t>
            </w:r>
          </w:p>
          <w:p w14:paraId="60E58697">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3.制定了《关于进一步优化排污许可审批联审联查工作机制》。</w:t>
            </w:r>
          </w:p>
        </w:tc>
        <w:tc>
          <w:tcPr>
            <w:tcW w:w="1418" w:type="dxa"/>
            <w:vAlign w:val="center"/>
          </w:tcPr>
          <w:p w14:paraId="393F62C7">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已完成整改</w:t>
            </w:r>
          </w:p>
        </w:tc>
      </w:tr>
      <w:tr w14:paraId="7AFE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0" w:hRule="atLeast"/>
        </w:trPr>
        <w:tc>
          <w:tcPr>
            <w:tcW w:w="980" w:type="dxa"/>
            <w:shd w:val="clear" w:color="auto" w:fill="auto"/>
            <w:vAlign w:val="center"/>
          </w:tcPr>
          <w:p w14:paraId="06D31FD9">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10</w:t>
            </w:r>
          </w:p>
        </w:tc>
        <w:tc>
          <w:tcPr>
            <w:tcW w:w="4702" w:type="dxa"/>
            <w:shd w:val="clear" w:color="auto" w:fill="auto"/>
            <w:vAlign w:val="center"/>
          </w:tcPr>
          <w:p w14:paraId="44E3BD6A">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安康市现有机动车检测机构12家，抽查6家均存在环检线移动摄像头无法正常使用、人为更改汽车驱动方式放宽检验检测标准等问题。旬阳市庆安机动车辆检测有限公司使用OBDⅡ型作弊器干扰检测结果，使12辆车检测合格，现场发现2个OBDⅡ型作弊器。石泉县机动车检测有限公司在车辆冒黑烟情况下仍出具合格检测报告。安康高新区3家机动车检测公司简化车辆检测程序，未对车辆外观、后处理装置等“否决项”进行检查，就出具车辆合格检测报告。平利县等3个县</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市</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3家机动车辆检测有限公司排气分析仪的轻汽轻柴混合线、重柴线取样管长度均大于《机动车排放定期检验规范》中规定的7.5米，均存在采样探头未完全插入就出具合格检测报告的问题。</w:t>
            </w:r>
          </w:p>
        </w:tc>
        <w:tc>
          <w:tcPr>
            <w:tcW w:w="7371" w:type="dxa"/>
            <w:vAlign w:val="center"/>
          </w:tcPr>
          <w:p w14:paraId="488A7D77">
            <w:pPr>
              <w:keepNext w:val="0"/>
              <w:keepLines w:val="0"/>
              <w:pageBreakBefore w:val="0"/>
              <w:widowControl/>
              <w:kinsoku/>
              <w:wordWrap/>
              <w:overflowPunct/>
              <w:topLinePunct w:val="0"/>
              <w:autoSpaceDE/>
              <w:autoSpaceDN/>
              <w:bidi w:val="0"/>
              <w:adjustRightInd/>
              <w:snapToGrid/>
              <w:spacing w:line="300" w:lineRule="exact"/>
              <w:ind w:right="0" w:firstLine="440" w:firstLineChars="200"/>
              <w:jc w:val="both"/>
              <w:textAlignment w:val="auto"/>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1.全面排查整治，对全市12家机动车检测机构开展“拉网式”检查，对旬阳市庆安机动车辆检测有限公司、石泉县机动车检测有限公司和平利县女娲机动车服务有限公司已依法立案查处；责令安康丰源汽车安全检测有限公司、安康市新春车辆综合性能检测信息有限公司和陕西顺安车辆检测有限公司限期整改，已全部整改到位。</w:t>
            </w:r>
          </w:p>
          <w:p w14:paraId="49259F81">
            <w:pPr>
              <w:keepNext w:val="0"/>
              <w:keepLines w:val="0"/>
              <w:pageBreakBefore w:val="0"/>
              <w:widowControl/>
              <w:kinsoku/>
              <w:wordWrap/>
              <w:overflowPunct/>
              <w:topLinePunct w:val="0"/>
              <w:autoSpaceDE/>
              <w:autoSpaceDN/>
              <w:bidi w:val="0"/>
              <w:adjustRightInd/>
              <w:snapToGrid/>
              <w:spacing w:line="300" w:lineRule="exact"/>
              <w:ind w:right="0" w:firstLine="440" w:firstLineChars="200"/>
              <w:jc w:val="both"/>
              <w:textAlignment w:val="auto"/>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 xml:space="preserve">2.及时更新设备，针对环检线摄像头故障、OBD作弊器干扰、排气分析仪取样管超长度等问题，督促相关有问题检验检测机构完成设备升级改造，共更换不合格摄像头5台、新增摄像头6台，拆除没收OBD作弊设备2个，整改超长度分析仪采样管8条，召回问题车辆重检145辆。   </w:t>
            </w:r>
          </w:p>
          <w:p w14:paraId="4A805898">
            <w:pPr>
              <w:keepNext w:val="0"/>
              <w:keepLines w:val="0"/>
              <w:pageBreakBefore w:val="0"/>
              <w:widowControl/>
              <w:kinsoku/>
              <w:wordWrap/>
              <w:overflowPunct/>
              <w:topLinePunct w:val="0"/>
              <w:autoSpaceDE/>
              <w:autoSpaceDN/>
              <w:bidi w:val="0"/>
              <w:adjustRightInd/>
              <w:snapToGrid/>
              <w:spacing w:line="300" w:lineRule="exact"/>
              <w:ind w:right="0" w:firstLine="440" w:firstLineChars="200"/>
              <w:jc w:val="both"/>
              <w:textAlignment w:val="auto"/>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3.规范检测流程，6家机动车检验检测机构定期组织开展专题培训20余场次，培训人员80人次；严格按照《机动车排放定期检验规范》，建立检测报告“双审核”机制，杜绝简化程序、虚假报告等问题。</w:t>
            </w:r>
          </w:p>
          <w:p w14:paraId="3BB91B68">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eastAsia="zh-CN"/>
              </w:rPr>
              <w:t>4.强化执法监管，严厉打击违法违规行为，市中级人民法院、市人民检察院等六部门及时制定了《关于印发机动车排放检验领域第三方机构专项整治工作方案的通知》和安康市生态环境保护委员会办公室关于印发《安康市重型货车和机动车排放领域第三方机构环境监管工作实施方案的通知》等文件，推动第三方检验检测机构落实主体责任，守法经营合规检测。</w:t>
            </w:r>
          </w:p>
        </w:tc>
        <w:tc>
          <w:tcPr>
            <w:tcW w:w="1418" w:type="dxa"/>
            <w:vAlign w:val="center"/>
          </w:tcPr>
          <w:p w14:paraId="356206D7">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已完成整改</w:t>
            </w:r>
          </w:p>
        </w:tc>
      </w:tr>
      <w:tr w14:paraId="3E1B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2" w:hRule="atLeast"/>
        </w:trPr>
        <w:tc>
          <w:tcPr>
            <w:tcW w:w="980" w:type="dxa"/>
            <w:shd w:val="clear" w:color="auto" w:fill="auto"/>
            <w:vAlign w:val="center"/>
          </w:tcPr>
          <w:p w14:paraId="1D7C8E78">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11</w:t>
            </w:r>
          </w:p>
        </w:tc>
        <w:tc>
          <w:tcPr>
            <w:tcW w:w="4702" w:type="dxa"/>
            <w:shd w:val="clear" w:color="auto" w:fill="auto"/>
            <w:vAlign w:val="center"/>
          </w:tcPr>
          <w:p w14:paraId="20081390">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安康市中心城区还有38公里雨污合流管网未完成改造，52处管网错接混搭未完成整改，江北、高新片区管网建设缓慢、污水收集不全，溢流问题长期存在。</w:t>
            </w:r>
          </w:p>
        </w:tc>
        <w:tc>
          <w:tcPr>
            <w:tcW w:w="7371" w:type="dxa"/>
            <w:vAlign w:val="center"/>
          </w:tcPr>
          <w:p w14:paraId="463B491E">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1.</w:t>
            </w:r>
            <w:r>
              <w:rPr>
                <w:rFonts w:hint="eastAsia" w:ascii="仿宋_GB2312" w:hAnsi="仿宋_GB2312" w:eastAsia="仿宋_GB2312" w:cs="仿宋_GB2312"/>
                <w:sz w:val="22"/>
                <w:szCs w:val="22"/>
                <w:lang w:val="en-US" w:eastAsia="zh-CN"/>
              </w:rPr>
              <w:t>关庙再生水厂已取得排污许可证并于3月份启动单线调试，每天调配一万吨污水进入关庙再生水厂处理，调阅第三方检测数据显示，各项出水指标符合要求，污水溢流问题已整改。完成</w:t>
            </w:r>
            <w:r>
              <w:rPr>
                <w:rFonts w:hint="eastAsia" w:ascii="仿宋_GB2312" w:hAnsi="仿宋_GB2312" w:eastAsia="仿宋_GB2312" w:cs="仿宋_GB2312"/>
                <w:sz w:val="22"/>
                <w:szCs w:val="22"/>
              </w:rPr>
              <w:t>加快沿江沟渠雨污分流项目建设。目前寇家沟雨污分流工程已新建管网1000米，塘坝沟雨污分流工程已新建管道80米，三安园沟雨污分流工程已完成道路切缝200米。</w:t>
            </w:r>
          </w:p>
          <w:p w14:paraId="02837713">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2.计划2025年底前优先完成15处错混接点和60处管网缺陷点整治，已于7月中旬开工建设，目前已完成安澜路中段、江北大道市人民医院东侧等8处排水管网错混接点整治。剩余错混接点管网缺陷点计划分三年于2028年底前完成整治。</w:t>
            </w:r>
          </w:p>
          <w:p w14:paraId="7D955D0F">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3.建民污水处理厂现处理能力已达3万m³/天，处理能力已充分满足区域内污水产生量，经检测，出水水质稳定达标排放，溢流问题已消除。</w:t>
            </w:r>
          </w:p>
        </w:tc>
        <w:tc>
          <w:tcPr>
            <w:tcW w:w="1418" w:type="dxa"/>
            <w:vAlign w:val="center"/>
          </w:tcPr>
          <w:p w14:paraId="7E616561">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正按时序进度推进整改</w:t>
            </w:r>
          </w:p>
        </w:tc>
      </w:tr>
      <w:tr w14:paraId="7F5B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980" w:type="dxa"/>
            <w:shd w:val="clear" w:color="auto" w:fill="auto"/>
            <w:vAlign w:val="center"/>
          </w:tcPr>
          <w:p w14:paraId="59B1C0EC">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12</w:t>
            </w:r>
          </w:p>
        </w:tc>
        <w:tc>
          <w:tcPr>
            <w:tcW w:w="4702" w:type="dxa"/>
            <w:shd w:val="clear" w:color="auto" w:fill="auto"/>
            <w:vAlign w:val="center"/>
          </w:tcPr>
          <w:p w14:paraId="585CE4FF">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全市有112家医疗机构未取得环评手续，20张床位以上的医疗机构中未建立医疗废水管理制度的有48家。安康市中心医院污水处理3组生物转盘堆积大量发黑污泥，1组生物转盘无法正常使用，进水处漂浮大量生活垃圾。安康市中医医院高新分院伪造消毒加药记录台账。安康市妇幼保健医院污水处理站未安装污泥脱水机及干化设备。</w:t>
            </w:r>
          </w:p>
        </w:tc>
        <w:tc>
          <w:tcPr>
            <w:tcW w:w="7371" w:type="dxa"/>
            <w:vAlign w:val="center"/>
          </w:tcPr>
          <w:p w14:paraId="36D965F0">
            <w:pPr>
              <w:pStyle w:val="34"/>
              <w:keepNext w:val="0"/>
              <w:keepLines w:val="0"/>
              <w:pageBreakBefore w:val="0"/>
              <w:widowControl/>
              <w:kinsoku/>
              <w:wordWrap/>
              <w:overflowPunct/>
              <w:topLinePunct w:val="0"/>
              <w:autoSpaceDE/>
              <w:autoSpaceDN/>
              <w:bidi w:val="0"/>
              <w:adjustRightInd/>
              <w:snapToGrid/>
              <w:spacing w:line="300" w:lineRule="exact"/>
              <w:ind w:firstLine="632"/>
              <w:textAlignment w:val="auto"/>
              <w:rPr>
                <w:rFonts w:hint="eastAsia" w:ascii="仿宋_GB2312" w:hAnsi="仿宋_GB2312" w:eastAsia="仿宋_GB2312" w:cs="仿宋_GB2312"/>
                <w:kern w:val="0"/>
                <w:sz w:val="22"/>
                <w:szCs w:val="22"/>
                <w:lang w:val="en-US" w:eastAsia="zh-CN" w:bidi="ar-SA"/>
              </w:rPr>
            </w:pPr>
            <w:r>
              <w:rPr>
                <w:rFonts w:hint="eastAsia" w:ascii="仿宋_GB2312" w:hAnsi="仿宋_GB2312" w:eastAsia="仿宋_GB2312" w:cs="仿宋_GB2312"/>
                <w:kern w:val="0"/>
                <w:sz w:val="22"/>
                <w:szCs w:val="22"/>
                <w:lang w:val="en-US" w:eastAsia="zh-CN" w:bidi="ar-SA"/>
              </w:rPr>
              <w:t>1.相关医疗机构依法依规完善环评手续，建立健全相关制度。汉滨区大河镇中心卫生院等28家医疗机构依法依规完成环评手续；汉滨区坝河镇卫生院等80家医疗机构重新规范申报了《建设项目环境影响登记表》；石泉县平安医院等14家医疗卫生机构通过查找档案，找到环评备案相关手续，并按照环评要求落实各项环保措施。安康市第三医院等48家医疗机构依据最新政策要求重新修订了医疗废水管理制度。各级卫健主管部门积极组织开展医疗废物废水管理业务培训，提升辖区医疗卫生机构业务能力与水平，确保医疗废物规范处置、医疗废水达标排放。</w:t>
            </w:r>
          </w:p>
          <w:p w14:paraId="1226E663">
            <w:pPr>
              <w:pStyle w:val="34"/>
              <w:keepNext w:val="0"/>
              <w:keepLines w:val="0"/>
              <w:pageBreakBefore w:val="0"/>
              <w:widowControl/>
              <w:kinsoku/>
              <w:wordWrap/>
              <w:overflowPunct/>
              <w:topLinePunct w:val="0"/>
              <w:autoSpaceDE/>
              <w:autoSpaceDN/>
              <w:bidi w:val="0"/>
              <w:adjustRightInd/>
              <w:snapToGrid/>
              <w:spacing w:line="300" w:lineRule="exact"/>
              <w:ind w:firstLine="632"/>
              <w:textAlignment w:val="auto"/>
              <w:rPr>
                <w:rFonts w:hint="eastAsia" w:ascii="仿宋_GB2312" w:hAnsi="仿宋_GB2312" w:eastAsia="仿宋_GB2312" w:cs="仿宋_GB2312"/>
                <w:kern w:val="0"/>
                <w:sz w:val="22"/>
                <w:szCs w:val="22"/>
                <w:lang w:val="en-US" w:eastAsia="zh-CN" w:bidi="ar-SA"/>
              </w:rPr>
            </w:pPr>
            <w:r>
              <w:rPr>
                <w:rFonts w:hint="eastAsia" w:ascii="仿宋_GB2312" w:hAnsi="仿宋_GB2312" w:eastAsia="仿宋_GB2312" w:cs="仿宋_GB2312"/>
                <w:kern w:val="0"/>
                <w:sz w:val="22"/>
                <w:szCs w:val="22"/>
                <w:lang w:val="en-US" w:eastAsia="zh-CN" w:bidi="ar-SA"/>
              </w:rPr>
              <w:t>2.安康市中心医院：一是按照立行立改的要求，已于2024年11月24日由厂家对医院污水处理设备故障进行维修，并采购安装了清淤设施叠螺机。对漂浮的垃圾进行了清理消毒，及时清理淤泥。二是2025年3月完成事故池建设后，立即组织完成了环保竣工验收。市第三医院（市传染病医院）2025年2月完成医疗污水制度修订、上墙工作，并按有关要求落实。三是加强日常巡查检修，发现问题及时处理，确保设备正常运行。</w:t>
            </w:r>
          </w:p>
          <w:p w14:paraId="5E730BD0">
            <w:pPr>
              <w:keepNext w:val="0"/>
              <w:keepLines w:val="0"/>
              <w:pageBreakBefore w:val="0"/>
              <w:widowControl/>
              <w:kinsoku/>
              <w:wordWrap/>
              <w:overflowPunct/>
              <w:topLinePunct w:val="0"/>
              <w:autoSpaceDE/>
              <w:autoSpaceDN/>
              <w:bidi w:val="0"/>
              <w:adjustRightInd/>
              <w:snapToGrid/>
              <w:spacing w:line="300" w:lineRule="exact"/>
              <w:ind w:firstLine="440" w:firstLineChars="200"/>
              <w:textAlignment w:val="auto"/>
              <w:rPr>
                <w:rFonts w:hint="eastAsia" w:ascii="仿宋_GB2312" w:hAnsi="仿宋_GB2312" w:eastAsia="仿宋_GB2312" w:cs="仿宋_GB2312"/>
                <w:kern w:val="0"/>
                <w:sz w:val="22"/>
                <w:szCs w:val="22"/>
                <w:lang w:val="en-US" w:eastAsia="zh-CN" w:bidi="ar-SA"/>
              </w:rPr>
            </w:pPr>
            <w:r>
              <w:rPr>
                <w:rFonts w:hint="eastAsia" w:ascii="仿宋_GB2312" w:hAnsi="仿宋_GB2312" w:eastAsia="仿宋_GB2312" w:cs="仿宋_GB2312"/>
                <w:kern w:val="0"/>
                <w:sz w:val="22"/>
                <w:szCs w:val="22"/>
                <w:lang w:val="en-US" w:eastAsia="zh-CN" w:bidi="ar-SA"/>
              </w:rPr>
              <w:t>3.安康市中医医院：一是按照立行立改的要求迅速建立完善医疗废水管理制度，规范相关台账记录，并加强培训指导，确保制度落实到位。二是2024年11月21日对第三方公司进行了约谈，并处扣罚11月全部费用16557.0元、自2025年1月1日起终止托管服务的处罚。2025年1月起，由重新招标的第三方公司提供相关服务。三是规范了消毒加药台账和日常运行台账记录，加强对从业人员的管理及第三方公司的监管。严格落实医疗污水处置设施及排放管理全过程监管责任，加强对污水处理设施设备巡查检修，定期抽取医院污水处理站出水委托检测公司进行检测，发现问题及时处理，确保医疗废水、污泥依法依规处置。</w:t>
            </w:r>
          </w:p>
          <w:p w14:paraId="490EA95D">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bidi="ar-SA"/>
              </w:rPr>
              <w:t>4.安康市妇幼保健院：按照立行立改的要求，该院立即启动紧急采购程序，于2024年12月10日完成了污泥脱水机及干化设备的安装调试和投用，并配套建设了污泥处置间和贮存间，制定完善污泥处置管理等相关制度、台账和标识标牌。</w:t>
            </w:r>
          </w:p>
        </w:tc>
        <w:tc>
          <w:tcPr>
            <w:tcW w:w="1418" w:type="dxa"/>
            <w:vAlign w:val="center"/>
          </w:tcPr>
          <w:p w14:paraId="4307EA1A">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已完成整改</w:t>
            </w:r>
          </w:p>
        </w:tc>
      </w:tr>
      <w:tr w14:paraId="3DD2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6" w:hRule="atLeast"/>
        </w:trPr>
        <w:tc>
          <w:tcPr>
            <w:tcW w:w="980" w:type="dxa"/>
            <w:shd w:val="clear" w:color="auto" w:fill="auto"/>
            <w:vAlign w:val="center"/>
          </w:tcPr>
          <w:p w14:paraId="161781DE">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13</w:t>
            </w:r>
          </w:p>
        </w:tc>
        <w:tc>
          <w:tcPr>
            <w:tcW w:w="4702" w:type="dxa"/>
            <w:shd w:val="clear" w:color="auto" w:fill="auto"/>
            <w:vAlign w:val="center"/>
          </w:tcPr>
          <w:p w14:paraId="3017D653">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中央和省生态环境保护督察反馈问题、交办群众信访投诉件中，还存在整改质量不高、成效巩固提升不到位等现象。第二轮中央督察反馈的“建筑垃圾乱堆乱倒”问题，整改成效不稳固，出现反弹。</w:t>
            </w:r>
          </w:p>
        </w:tc>
        <w:tc>
          <w:tcPr>
            <w:tcW w:w="7371" w:type="dxa"/>
            <w:vAlign w:val="center"/>
          </w:tcPr>
          <w:p w14:paraId="4A0179FA">
            <w:pPr>
              <w:keepNext w:val="0"/>
              <w:keepLines w:val="0"/>
              <w:pageBreakBefore w:val="0"/>
              <w:widowControl/>
              <w:numPr>
                <w:ilvl w:val="0"/>
                <w:numId w:val="0"/>
              </w:numPr>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1.</w:t>
            </w:r>
            <w:r>
              <w:rPr>
                <w:rFonts w:hint="eastAsia" w:ascii="仿宋_GB2312" w:hAnsi="仿宋_GB2312" w:eastAsia="仿宋_GB2312" w:cs="仿宋_GB2312"/>
                <w:sz w:val="22"/>
                <w:szCs w:val="22"/>
              </w:rPr>
              <w:t>印发《2025年建筑垃圾专项整治》工作方案，开展集中整治攻坚；</w:t>
            </w:r>
          </w:p>
          <w:p w14:paraId="49334521">
            <w:pPr>
              <w:keepNext w:val="0"/>
              <w:keepLines w:val="0"/>
              <w:pageBreakBefore w:val="0"/>
              <w:widowControl/>
              <w:numPr>
                <w:ilvl w:val="0"/>
                <w:numId w:val="0"/>
              </w:numPr>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rPr>
              <w:t>会同汉中、商洛建立陕南地区跨区域治理协作机制；</w:t>
            </w:r>
          </w:p>
          <w:p w14:paraId="3F59C1AB">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rPr>
              <w:t>3.严格落实建筑垃圾处置核准，联合市住建局将建筑垃圾备案纳入“高效办成一件事”目录，完成全省建筑垃圾处置核准审批事项公布；</w:t>
            </w:r>
          </w:p>
          <w:p w14:paraId="0670FBEE">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sz w:val="22"/>
                <w:szCs w:val="22"/>
              </w:rPr>
              <w:t>4.7月查处建筑垃圾违法案件7起，完成整改7起，消除存量点位2处，产生处置建筑垃圾4.2万吨。检查建筑工地102处，检查渣土车243台，批评教育52台，处罚4台，罚款2600元。</w:t>
            </w:r>
          </w:p>
        </w:tc>
        <w:tc>
          <w:tcPr>
            <w:tcW w:w="1418" w:type="dxa"/>
            <w:vAlign w:val="center"/>
          </w:tcPr>
          <w:p w14:paraId="6221915D">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正按时序进度推进整改</w:t>
            </w:r>
          </w:p>
        </w:tc>
      </w:tr>
      <w:tr w14:paraId="7FEF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0" w:hRule="atLeast"/>
        </w:trPr>
        <w:tc>
          <w:tcPr>
            <w:tcW w:w="980" w:type="dxa"/>
            <w:shd w:val="clear" w:color="auto" w:fill="auto"/>
            <w:vAlign w:val="center"/>
          </w:tcPr>
          <w:p w14:paraId="44CF7890">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14</w:t>
            </w:r>
          </w:p>
        </w:tc>
        <w:tc>
          <w:tcPr>
            <w:tcW w:w="4702" w:type="dxa"/>
            <w:shd w:val="clear" w:color="auto" w:fill="auto"/>
            <w:vAlign w:val="center"/>
          </w:tcPr>
          <w:p w14:paraId="1BB01C78">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第二轮省生态环境保护督察反馈安康市“沿江污水直排”问题整改质量不高。</w:t>
            </w:r>
          </w:p>
        </w:tc>
        <w:tc>
          <w:tcPr>
            <w:tcW w:w="7371" w:type="dxa"/>
            <w:vAlign w:val="center"/>
          </w:tcPr>
          <w:p w14:paraId="6609F17D">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1.加快关庙再生水厂建设，2025年3月28日实现单线通水运行，每日新增处理能力1.7万吨，目前江北片区污水处理总能力达6万吨/日，晴天污水溢流问题已解决。</w:t>
            </w:r>
          </w:p>
          <w:p w14:paraId="33CDECD1">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2.持续加强江北片区污水处理设施运行监管，确保稳定运行、达标排放。</w:t>
            </w:r>
          </w:p>
          <w:p w14:paraId="3508AFD0">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3.计划2025年底前优先完成15处错混接点和60处管网缺陷点整治，已于7月中旬开工建设，目前已完成安澜路中段、江北大道市人民医院东侧等8处排水管网错混接点整治。剩余错混接点管网缺陷点计划分三年于2028年底前完成整治。</w:t>
            </w:r>
          </w:p>
        </w:tc>
        <w:tc>
          <w:tcPr>
            <w:tcW w:w="1418" w:type="dxa"/>
            <w:vAlign w:val="center"/>
          </w:tcPr>
          <w:p w14:paraId="4133741C">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正按时序进度推进整改</w:t>
            </w:r>
          </w:p>
        </w:tc>
      </w:tr>
      <w:tr w14:paraId="7C49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6" w:hRule="atLeast"/>
        </w:trPr>
        <w:tc>
          <w:tcPr>
            <w:tcW w:w="980" w:type="dxa"/>
            <w:shd w:val="clear" w:color="auto" w:fill="auto"/>
            <w:vAlign w:val="center"/>
          </w:tcPr>
          <w:p w14:paraId="72716CA2">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15</w:t>
            </w:r>
          </w:p>
        </w:tc>
        <w:tc>
          <w:tcPr>
            <w:tcW w:w="4702" w:type="dxa"/>
            <w:shd w:val="clear" w:color="auto" w:fill="auto"/>
            <w:vAlign w:val="center"/>
          </w:tcPr>
          <w:p w14:paraId="64F472E3">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旬阳市8个镇级污水处理厂</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站</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未正常运行，其中吕河镇污水处理厂除臭喷淋设备和部分好氧转盘设施损坏无法正常使用；汉滨区早阳镇污水处理厂处理后的污水总磷、总氮超标排放；镇坪县钟宝镇新坪村污水处理站设备严重老化，超负荷运行；宁陕县广货街镇污水处理厂粗格栅停运。</w:t>
            </w:r>
          </w:p>
        </w:tc>
        <w:tc>
          <w:tcPr>
            <w:tcW w:w="7371" w:type="dxa"/>
            <w:vAlign w:val="center"/>
          </w:tcPr>
          <w:p w14:paraId="175A625D">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旬阳市：已完成整改。运营单位陕西环境工程建设旬阳水处理有限公司已于2025年3月16日完成对吕河镇污水处理厂除臭喷淋设备完成维修，2025年3月17日完成好氧转盘维修，安康市生态环境旬阳分局已于2025年3月20日进行现场查验。目前污水处理设施正常运行。</w:t>
            </w:r>
          </w:p>
          <w:p w14:paraId="0628EE87">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汉滨区：已完成整改。2025年3月9日，早阳镇委托陕西城彩环保科技有限公司对东湾村污水处理站进行日常运维和管理，对存在问题立即查改，确保设备运行正常、出水达标。该公司通过深入排查，发现东湾村污水处理站处理后的污水总磷、总氮超标排放是由于加药泵堵塞导致，便及时采取措施，对加药管进行疏通和专业处理，后经反复调试后设备运行正常、出水达标。2025年4月25日，早阳镇委托陕西地矿安康秦汉实验检测有限公司对东湾村污水处理站出水水质进行采样，2025年5月2日检验报告反馈出水水质达到《城镇污水处理厂污染排放标准》（GB18918-2002）表1中一级A标准，达到整改成效。</w:t>
            </w:r>
          </w:p>
          <w:p w14:paraId="7FE8E952">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镇坪县：已完成整改。钟宝镇新坪村污水处理站已更换新设备及配件，并完成设备调试，目前，该站已恢复正常运行。</w:t>
            </w:r>
          </w:p>
          <w:p w14:paraId="6E547672">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宁陕县：已完成整改。已对广货街镇污水处理厂粗格栅进行维修，该污水处理厂设施正常运行，2025年5月28日完成县级验收。</w:t>
            </w:r>
          </w:p>
        </w:tc>
        <w:tc>
          <w:tcPr>
            <w:tcW w:w="1418" w:type="dxa"/>
            <w:vAlign w:val="center"/>
          </w:tcPr>
          <w:p w14:paraId="553FF28E">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已完成整改</w:t>
            </w:r>
          </w:p>
        </w:tc>
      </w:tr>
      <w:tr w14:paraId="5369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3" w:hRule="atLeast"/>
        </w:trPr>
        <w:tc>
          <w:tcPr>
            <w:tcW w:w="980" w:type="dxa"/>
            <w:shd w:val="clear" w:color="auto" w:fill="auto"/>
            <w:vAlign w:val="center"/>
          </w:tcPr>
          <w:p w14:paraId="0197B4E1">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16</w:t>
            </w:r>
          </w:p>
        </w:tc>
        <w:tc>
          <w:tcPr>
            <w:tcW w:w="4702" w:type="dxa"/>
            <w:shd w:val="clear" w:color="auto" w:fill="auto"/>
            <w:vAlign w:val="center"/>
          </w:tcPr>
          <w:p w14:paraId="01C41782">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旬阳市中心医院、平利县医院医疗废水和实验室废水未经处理直排污水管网，污水处理站加药装置和污泥、废气处理装置不正常运行。宁陕县中医院污水处理站预处理后的污水粪大肠菌群超过《医疗机构水污染物排放标准》8.6倍。石泉县中医医院</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新院区</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检验科废水预处理设备无法正常使用，使用过期药剂；熨斗镇等7个乡镇卫生院污水处理站运行不正常，未及时清理污泥。</w:t>
            </w:r>
          </w:p>
        </w:tc>
        <w:tc>
          <w:tcPr>
            <w:tcW w:w="7371" w:type="dxa"/>
            <w:vAlign w:val="center"/>
          </w:tcPr>
          <w:p w14:paraId="72ED69D2">
            <w:pPr>
              <w:keepNext w:val="0"/>
              <w:keepLines w:val="0"/>
              <w:pageBreakBefore w:val="0"/>
              <w:widowControl/>
              <w:kinsoku/>
              <w:wordWrap/>
              <w:overflowPunct/>
              <w:topLinePunct w:val="0"/>
              <w:autoSpaceDE/>
              <w:autoSpaceDN/>
              <w:bidi w:val="0"/>
              <w:adjustRightInd/>
              <w:snapToGrid/>
              <w:spacing w:line="300" w:lineRule="exact"/>
              <w:ind w:right="0" w:firstLine="440" w:firstLineChars="200"/>
              <w:jc w:val="both"/>
              <w:textAlignment w:val="auto"/>
              <w:outlineLvl w:val="9"/>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旬阳市：已完成整改。旬阳市中心医院采购了实验室废水预处理设备</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已安装并投入使用</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处理后的医疗废水经检测达到《污水综合排放标准》</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GB8978-1996</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一级标准排放限值。该院已与安康启泽环保科技有限公司签订了污泥处置合同，定期对该院的污泥进行清掏并集中处置。该院已对污水处理站处置装置进行了全面维保检修，并对相关人员进行运行及监测知识培训，确保如实记录。废气通过设备加盖及设施置于地下等措施进行污水处理站无组织废气管控，并委托第三方机构每季度进行废气检测，检测结果均符合排放标准。</w:t>
            </w:r>
          </w:p>
          <w:p w14:paraId="704D88BF">
            <w:pPr>
              <w:keepNext w:val="0"/>
              <w:keepLines w:val="0"/>
              <w:pageBreakBefore w:val="0"/>
              <w:widowControl/>
              <w:kinsoku/>
              <w:wordWrap/>
              <w:overflowPunct/>
              <w:topLinePunct w:val="0"/>
              <w:autoSpaceDE/>
              <w:autoSpaceDN/>
              <w:bidi w:val="0"/>
              <w:adjustRightInd/>
              <w:snapToGrid/>
              <w:spacing w:line="300" w:lineRule="exact"/>
              <w:ind w:right="0" w:firstLine="440" w:firstLineChars="200"/>
              <w:jc w:val="both"/>
              <w:textAlignment w:val="auto"/>
              <w:outlineLvl w:val="9"/>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平利县：已完成整改。1.平利县医院检验科废水预处理系统已安装并投入使用；2.污水处理站加药管道已按设计要求重新调整，目前装置运行正常；3.已和第三方污泥处理单位签订协议，达到处理量及时清理；4.已维修废气处理装置，目前设施运行正常。</w:t>
            </w:r>
          </w:p>
          <w:p w14:paraId="4E14DA7C">
            <w:pPr>
              <w:keepNext w:val="0"/>
              <w:keepLines w:val="0"/>
              <w:pageBreakBefore w:val="0"/>
              <w:widowControl/>
              <w:kinsoku/>
              <w:wordWrap/>
              <w:overflowPunct/>
              <w:topLinePunct w:val="0"/>
              <w:autoSpaceDE/>
              <w:autoSpaceDN/>
              <w:bidi w:val="0"/>
              <w:adjustRightInd/>
              <w:snapToGrid/>
              <w:spacing w:line="300" w:lineRule="exact"/>
              <w:ind w:right="0" w:firstLine="440" w:firstLineChars="200"/>
              <w:jc w:val="both"/>
              <w:textAlignment w:val="auto"/>
              <w:outlineLvl w:val="9"/>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宁陕县：已完成整改。2024年11月，宁陕县中医院对全套污水管网系统运行情况逐项检查，及时更换了污水提升泵，维护相关设施设备，对曝气、投药等机电设施检查检修。分别于2025年4月3日、3月28日、2月12日、2024年12月4日请第三方检测公司开展了4次污水检测，所测项目检测结果均符合国家规定标准限值。6月5日完成县级验收。</w:t>
            </w:r>
          </w:p>
          <w:p w14:paraId="4BF12C6F">
            <w:pPr>
              <w:keepNext w:val="0"/>
              <w:keepLines w:val="0"/>
              <w:pageBreakBefore w:val="0"/>
              <w:widowControl/>
              <w:kinsoku/>
              <w:wordWrap/>
              <w:overflowPunct/>
              <w:topLinePunct w:val="0"/>
              <w:autoSpaceDE/>
              <w:autoSpaceDN/>
              <w:bidi w:val="0"/>
              <w:adjustRightInd/>
              <w:snapToGrid/>
              <w:spacing w:line="300" w:lineRule="exact"/>
              <w:ind w:right="0" w:firstLine="440" w:firstLineChars="200"/>
              <w:jc w:val="both"/>
              <w:textAlignment w:val="auto"/>
              <w:outlineLvl w:val="9"/>
              <w:rPr>
                <w:rFonts w:hint="eastAsia"/>
                <w:sz w:val="22"/>
                <w:szCs w:val="22"/>
              </w:rPr>
            </w:pPr>
            <w:r>
              <w:rPr>
                <w:rFonts w:hint="eastAsia" w:ascii="仿宋_GB2312" w:hAnsi="仿宋_GB2312" w:eastAsia="仿宋_GB2312" w:cs="仿宋_GB2312"/>
                <w:sz w:val="22"/>
                <w:szCs w:val="22"/>
                <w:lang w:val="en-US" w:eastAsia="zh-CN"/>
              </w:rPr>
              <w:t>石泉县：</w:t>
            </w:r>
            <w:r>
              <w:rPr>
                <w:rFonts w:hint="eastAsia" w:ascii="仿宋_GB2312" w:hAnsi="仿宋_GB2312" w:eastAsia="仿宋_GB2312" w:cs="仿宋_GB2312"/>
                <w:sz w:val="22"/>
                <w:szCs w:val="22"/>
              </w:rPr>
              <w:t>已完成整改。</w:t>
            </w:r>
            <w:r>
              <w:rPr>
                <w:rFonts w:hint="eastAsia" w:ascii="仿宋_GB2312" w:hAnsi="仿宋_GB2312" w:eastAsia="仿宋_GB2312" w:cs="仿宋_GB2312"/>
                <w:sz w:val="22"/>
                <w:szCs w:val="22"/>
                <w:lang w:val="en-US" w:eastAsia="zh-CN"/>
              </w:rPr>
              <w:t>1.县中医医院已立即联系售后现场对预处理设备进行维修调试，采购二氧化氯消毒药剂，目前检验科废水预处理设备正常使用。2.两河镇中心卫生院从县污水处理厂购得活性污泥，现已投入曝气池内使用，同时要求污水管理兼职人员严格落实工作制度，每日进行排查，发现问题及时处理。饶峰镇中心卫生院已将阀门调至三分之一处，消除泡沫，对水样进行消毒，已对井盖周围进行密闭处理确保无雨水及泥沙进入清水池。按要求对污水处理站污泥进行清理，同时严格落实工作制度，每日进行排查，发现问题及时处理。云雾山镇卫生院、迎丰镇中心卫生院、熨斗镇中心卫生院、中池镇卫生院已进行清淤，并投放活性污泥到污水处理站好氧池中，按要求进行存储和建立台账。池河镇中心卫生院已调整污水处理器运转模式为长期运转模式，好氧池曝气量明显增加，按要求对污水处理站污泥进行清理，按要求进行存储和建立台账。</w:t>
            </w:r>
          </w:p>
        </w:tc>
        <w:tc>
          <w:tcPr>
            <w:tcW w:w="1418" w:type="dxa"/>
            <w:vAlign w:val="center"/>
          </w:tcPr>
          <w:p w14:paraId="00F091E6">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已完成整改</w:t>
            </w:r>
          </w:p>
        </w:tc>
      </w:tr>
      <w:tr w14:paraId="2E60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2" w:hRule="atLeast"/>
        </w:trPr>
        <w:tc>
          <w:tcPr>
            <w:tcW w:w="980" w:type="dxa"/>
            <w:shd w:val="clear" w:color="auto" w:fill="auto"/>
            <w:vAlign w:val="center"/>
          </w:tcPr>
          <w:p w14:paraId="3A68B3F5">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17</w:t>
            </w:r>
          </w:p>
        </w:tc>
        <w:tc>
          <w:tcPr>
            <w:tcW w:w="4702" w:type="dxa"/>
            <w:shd w:val="clear" w:color="auto" w:fill="auto"/>
            <w:vAlign w:val="center"/>
          </w:tcPr>
          <w:p w14:paraId="36104405">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空气质量改善成效还不够稳固，安康市2023年优良天数同比减少8天，在全国339个城市排名从2021年的第117名下滑至2023年的第130名，2024年重污染天数难以完成考核任务。2024年，全市有75家1000平方米以上的餐饮企业单位应安装油烟在线监测设备，实际仅安装21家。全市62家重点用车企业应于2024年9月底前完成环保门禁系统建设，实际仅完成13家。此外，面源污染管控能力还不够高，秸秆禁烧以及散煤抽检等工作有待加强。</w:t>
            </w:r>
          </w:p>
        </w:tc>
        <w:tc>
          <w:tcPr>
            <w:tcW w:w="7371" w:type="dxa"/>
            <w:vAlign w:val="center"/>
          </w:tcPr>
          <w:p w14:paraId="5F1CAB60">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一是强化安排部署，印发了《安康市大气污染治理专项行动2025年工作方案》《安康市大气污染防治“冬病夏治”工作方案》《安康市2025年扭转被动局面推进空气质量改善工作方案》《安康市2025年夏季空气质量提升工作方案》，夯实职责、细化措施，推动各项工作有序开展。</w:t>
            </w:r>
          </w:p>
          <w:p w14:paraId="0070DBC8">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二是加强餐饮油烟治理，54家餐饮单位已安装在线监测设备，餐饮油烟监管信息平台已初步建成，目前正在调试。</w:t>
            </w:r>
          </w:p>
          <w:p w14:paraId="5438843F">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三是加快环保门禁建设，剩余21家企业17家已完成门禁建设，剩余4家推进中。</w:t>
            </w:r>
          </w:p>
          <w:p w14:paraId="7E9FC207">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四是严控秸秆禁烧，印发了《关于做好2025年秸秆禁烧工作的通知》，夯实县镇村组四级网格监管职责，筑牢全域禁烧防线；强化明察暗访，推动工作落实，查处火点（黑斑）9处，下发通报2份；广泛宣传教育，累计出动人员11770余人次，出动宣传车辆1360余台（次），发放各类宣传资料97880余份，悬挂标语1100余条。</w:t>
            </w:r>
          </w:p>
          <w:p w14:paraId="652B71F5">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五是推进散煤治理，发布了《2025年重点产品监督抽查计划通告》，将散煤列入抽查计划，目前抽查3批次。</w:t>
            </w:r>
          </w:p>
        </w:tc>
        <w:tc>
          <w:tcPr>
            <w:tcW w:w="1418" w:type="dxa"/>
            <w:vAlign w:val="center"/>
          </w:tcPr>
          <w:p w14:paraId="1886D4A5">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正在按时序推进整改</w:t>
            </w:r>
          </w:p>
        </w:tc>
      </w:tr>
      <w:tr w14:paraId="0154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7" w:hRule="atLeast"/>
        </w:trPr>
        <w:tc>
          <w:tcPr>
            <w:tcW w:w="980" w:type="dxa"/>
            <w:shd w:val="clear" w:color="auto" w:fill="auto"/>
            <w:vAlign w:val="center"/>
          </w:tcPr>
          <w:p w14:paraId="03293B18">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18</w:t>
            </w:r>
          </w:p>
        </w:tc>
        <w:tc>
          <w:tcPr>
            <w:tcW w:w="4702" w:type="dxa"/>
            <w:shd w:val="clear" w:color="auto" w:fill="auto"/>
            <w:vAlign w:val="center"/>
          </w:tcPr>
          <w:p w14:paraId="528BDE95">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相关部门对化工厂、水泥、商砼、石料建材加工等行业监管不严，企业污染防治措施落实不到位。汉滨区坤城环保建材有限公司、赢丰新型建材有限公司烟道破损、脱硫设施不正常运行、烟气散排问题突出；江华集团有限公司废气跑冒滴漏严重，厂区周边气味刺鼻。旬阳市尧柏水泥厂石膏和原煤上料口颗粒物收集不到位。平利县梓豪睿建材有限公司等4家企业原料堆放区扬尘问题突出。岚皋县、紫阳县、恒口示范区7家石料建材和商砼企业未按环评要求建设密闭的生产车间、原料棚、物料运输廊道，部分砂石料堆场无“三防”设施，厂区地面未硬化。</w:t>
            </w:r>
          </w:p>
        </w:tc>
        <w:tc>
          <w:tcPr>
            <w:tcW w:w="7371" w:type="dxa"/>
            <w:vAlign w:val="center"/>
          </w:tcPr>
          <w:p w14:paraId="7DA3A384">
            <w:pPr>
              <w:keepNext w:val="0"/>
              <w:keepLines w:val="0"/>
              <w:pageBreakBefore w:val="0"/>
              <w:widowControl/>
              <w:kinsoku/>
              <w:wordWrap/>
              <w:overflowPunct/>
              <w:topLinePunct w:val="0"/>
              <w:autoSpaceDE/>
              <w:autoSpaceDN/>
              <w:bidi w:val="0"/>
              <w:adjustRightInd/>
              <w:snapToGrid/>
              <w:spacing w:line="30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汉滨区：已完成整改。坤城环保建材有限公司于2024年10月全面停产，目前不具备复产条件，无排污行为。赢丰新型建材有限公司已对脱硫塔、排气管道、窑体、烟囱破损处进行维修，2025年4月17日执法监测赢丰新型环保建材有限公司无组织废气、二氧化硫、氟化物均达到排放标准。江华集团有限公司已完成大气污染物超低排放改造，并对厂区设备管道进行全面检修，4月7日监测报告显示有组织、无组织废气颗粒物、二氧化硫、氮氧化物等均符合排放标准。</w:t>
            </w:r>
          </w:p>
          <w:p w14:paraId="50F31B7B">
            <w:pPr>
              <w:keepNext w:val="0"/>
              <w:keepLines w:val="0"/>
              <w:pageBreakBefore w:val="0"/>
              <w:widowControl/>
              <w:kinsoku/>
              <w:wordWrap/>
              <w:overflowPunct/>
              <w:topLinePunct w:val="0"/>
              <w:autoSpaceDE/>
              <w:autoSpaceDN/>
              <w:bidi w:val="0"/>
              <w:adjustRightInd/>
              <w:snapToGrid/>
              <w:spacing w:line="30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旬阳市：已完成整改。1.2025年4月20日，该公司已完成石膏和原煤上料口收尘收集装置，安装和加装挂网式喷淋，同时建立喷淋设施进行集中控制平台，对有组织及无组织排放强化日常管理。2.将继续加大对该公司环境监管力度，加密检查频次，发现问题及时整改，确保各污染物达标排放。</w:t>
            </w:r>
          </w:p>
          <w:p w14:paraId="400F7F5E">
            <w:pPr>
              <w:keepNext w:val="0"/>
              <w:keepLines w:val="0"/>
              <w:pageBreakBefore w:val="0"/>
              <w:widowControl/>
              <w:kinsoku/>
              <w:wordWrap/>
              <w:overflowPunct/>
              <w:topLinePunct w:val="0"/>
              <w:autoSpaceDE/>
              <w:autoSpaceDN/>
              <w:bidi w:val="0"/>
              <w:adjustRightInd/>
              <w:snapToGrid/>
              <w:spacing w:line="30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平利县：已完成整改。平利县梓豪睿建材有限公司、平利县新奥建材有限公司对原料仓大门、卸料口和传输带进行了封闭，并安装了喷淋设备；平利县卓越矿业有限公司对堆放的原料进行了清除；平利县安得利新材料有限公司对堆放的原料采取了全覆盖措施；4家企业建立了清扫、洒水降尘工作机制，并加大抑尘频次，防治扬尘污染。</w:t>
            </w:r>
          </w:p>
          <w:p w14:paraId="6A8C5EE3">
            <w:pPr>
              <w:keepNext w:val="0"/>
              <w:keepLines w:val="0"/>
              <w:pageBreakBefore w:val="0"/>
              <w:widowControl/>
              <w:kinsoku/>
              <w:wordWrap/>
              <w:overflowPunct/>
              <w:topLinePunct w:val="0"/>
              <w:autoSpaceDE/>
              <w:autoSpaceDN/>
              <w:bidi w:val="0"/>
              <w:adjustRightInd/>
              <w:snapToGrid/>
              <w:spacing w:line="30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岚皋县：正在整改中。岚皋县平溪石料厂生产车间已全封闭，原料随产随用，不设置原料棚；建设了成品物料棚，成品物料全部棚储，不随意堆放；物料传输带进行全封闭；对未硬化场地进行了硬化。利和建材销售有限责任公司物料传输带已进行全封闭，督促在取得用地手续后，对生产车间进行全封闭</w:t>
            </w:r>
            <w:r>
              <w:rPr>
                <w:rFonts w:hint="eastAsia" w:ascii="仿宋_GB2312" w:hAnsi="仿宋_GB2312" w:eastAsia="仿宋_GB2312" w:cs="仿宋_GB2312"/>
                <w:kern w:val="0"/>
                <w:sz w:val="22"/>
                <w:szCs w:val="22"/>
                <w:lang w:eastAsia="zh-CN"/>
              </w:rPr>
              <w:t>，对</w:t>
            </w:r>
            <w:r>
              <w:rPr>
                <w:rFonts w:hint="eastAsia" w:ascii="仿宋_GB2312" w:hAnsi="仿宋_GB2312" w:eastAsia="仿宋_GB2312" w:cs="仿宋_GB2312"/>
                <w:kern w:val="0"/>
                <w:sz w:val="22"/>
                <w:szCs w:val="22"/>
              </w:rPr>
              <w:t>生产场区地面进行硬化，物料传输带进行全封闭，搭建成品料堆棚，四周修建围挡设施。茅坪石料厂生产车间已进行全封闭，正在搭建物料棚。新春石料厂生产车间已进行封闭，物料传输带已进行全封闭，临时用地手续到期，督促在取得用地手续后对生产场区地面进行硬化，搭建成品料堆棚，目前采用防尘网进行覆盖。</w:t>
            </w:r>
          </w:p>
          <w:p w14:paraId="65D7883E">
            <w:pPr>
              <w:keepNext w:val="0"/>
              <w:keepLines w:val="0"/>
              <w:pageBreakBefore w:val="0"/>
              <w:widowControl/>
              <w:kinsoku/>
              <w:wordWrap/>
              <w:overflowPunct/>
              <w:topLinePunct w:val="0"/>
              <w:autoSpaceDE/>
              <w:autoSpaceDN/>
              <w:bidi w:val="0"/>
              <w:adjustRightInd/>
              <w:snapToGrid/>
              <w:spacing w:line="30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紫阳县：</w:t>
            </w:r>
            <w:r>
              <w:rPr>
                <w:rFonts w:hint="eastAsia" w:ascii="仿宋_GB2312" w:hAnsi="仿宋_GB2312" w:eastAsia="仿宋_GB2312" w:cs="仿宋_GB2312"/>
                <w:spacing w:val="-6"/>
                <w:kern w:val="0"/>
                <w:sz w:val="22"/>
                <w:szCs w:val="22"/>
              </w:rPr>
              <w:t>已完成整改。已严格按照环境影响报告要求，封闭碎石场所，安装喷淋设施和修建加工循环用水池、三格沉淀池等设施，已完成环保竣工验收</w:t>
            </w:r>
            <w:r>
              <w:rPr>
                <w:rFonts w:hint="eastAsia" w:ascii="仿宋_GB2312" w:hAnsi="仿宋_GB2312" w:eastAsia="仿宋_GB2312" w:cs="仿宋_GB2312"/>
                <w:kern w:val="0"/>
                <w:sz w:val="22"/>
                <w:szCs w:val="22"/>
              </w:rPr>
              <w:t>。</w:t>
            </w:r>
          </w:p>
          <w:p w14:paraId="2A6D4596">
            <w:pPr>
              <w:keepNext w:val="0"/>
              <w:keepLines w:val="0"/>
              <w:pageBreakBefore w:val="0"/>
              <w:widowControl/>
              <w:kinsoku/>
              <w:wordWrap/>
              <w:overflowPunct/>
              <w:topLinePunct w:val="0"/>
              <w:autoSpaceDE/>
              <w:autoSpaceDN/>
              <w:bidi w:val="0"/>
              <w:adjustRightInd/>
              <w:snapToGrid/>
              <w:spacing w:line="30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恒口</w:t>
            </w:r>
            <w:r>
              <w:rPr>
                <w:rFonts w:hint="eastAsia" w:ascii="仿宋_GB2312" w:hAnsi="仿宋_GB2312" w:eastAsia="仿宋_GB2312" w:cs="仿宋_GB2312"/>
                <w:kern w:val="0"/>
                <w:sz w:val="22"/>
                <w:szCs w:val="22"/>
                <w:lang w:eastAsia="zh-CN"/>
              </w:rPr>
              <w:t>示范区</w:t>
            </w:r>
            <w:r>
              <w:rPr>
                <w:rFonts w:hint="eastAsia" w:ascii="仿宋_GB2312" w:hAnsi="仿宋_GB2312" w:eastAsia="仿宋_GB2312" w:cs="仿宋_GB2312"/>
                <w:kern w:val="0"/>
                <w:sz w:val="22"/>
                <w:szCs w:val="22"/>
              </w:rPr>
              <w:t>：安康宇鑫建材有限公司已对生产车间和物料运输廊道进行密闭</w:t>
            </w:r>
            <w:r>
              <w:rPr>
                <w:rFonts w:hint="eastAsia" w:ascii="仿宋_GB2312" w:hAnsi="仿宋_GB2312" w:eastAsia="仿宋_GB2312" w:cs="仿宋_GB2312"/>
                <w:kern w:val="0"/>
                <w:sz w:val="22"/>
                <w:szCs w:val="22"/>
                <w:lang w:eastAsia="zh-CN"/>
              </w:rPr>
              <w:t>，对</w:t>
            </w:r>
            <w:r>
              <w:rPr>
                <w:rFonts w:hint="eastAsia" w:ascii="仿宋_GB2312" w:hAnsi="仿宋_GB2312" w:eastAsia="仿宋_GB2312" w:cs="仿宋_GB2312"/>
                <w:kern w:val="0"/>
                <w:sz w:val="22"/>
                <w:szCs w:val="22"/>
              </w:rPr>
              <w:t>露天堆放的砂石料使用密目网进行覆盖；安康紫逸商贸有限公司已对露天堆放的砂石料使用密目网进行覆盖，物料棚已建设完成。</w:t>
            </w:r>
          </w:p>
        </w:tc>
        <w:tc>
          <w:tcPr>
            <w:tcW w:w="1418" w:type="dxa"/>
            <w:vAlign w:val="center"/>
          </w:tcPr>
          <w:p w14:paraId="1052B1BC">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正在按时序推进整改</w:t>
            </w:r>
          </w:p>
        </w:tc>
      </w:tr>
      <w:tr w14:paraId="7C58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8" w:hRule="atLeast"/>
        </w:trPr>
        <w:tc>
          <w:tcPr>
            <w:tcW w:w="980" w:type="dxa"/>
            <w:shd w:val="clear" w:color="auto" w:fill="auto"/>
            <w:vAlign w:val="center"/>
          </w:tcPr>
          <w:p w14:paraId="2C10A006">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19</w:t>
            </w:r>
          </w:p>
        </w:tc>
        <w:tc>
          <w:tcPr>
            <w:tcW w:w="4702" w:type="dxa"/>
            <w:shd w:val="clear" w:color="auto" w:fill="auto"/>
            <w:vAlign w:val="center"/>
          </w:tcPr>
          <w:p w14:paraId="580B1A4B">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安康市现有矿山需生态恢复治理面积约1.5万亩，截至督察时，仍有34%的区域尚未开展生态恢复治理。</w:t>
            </w:r>
          </w:p>
        </w:tc>
        <w:tc>
          <w:tcPr>
            <w:tcW w:w="7371" w:type="dxa"/>
            <w:vAlign w:val="center"/>
          </w:tcPr>
          <w:p w14:paraId="136D35A1">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一是全市历史遗留矿山治理任务已基本完成。2023年初省自然资源厅下达我市秦岭区域历史遗留矿山治理资金8493万元，用于治理秦岭区域剩余历史遗留矿山图斑治理，涉及汉滨、宁陕、汉阴、紫阳、旬阳、岚皋、恒口7个县（市、区）。目前7个项目已全部完成主体工程，其中岚皋、恒口2个项目已完成市级验收，汉滨、宁陕、旬阳、汉阴4个项目已完成县级验收，紫阳县正在准备县级验收。2025年底可全面完成秦岭区域历史遗留矿山治理，按期完成整改任务。2023年下半年省自然资源厅下达我市巴山区域历史遗留矿山治理资金5013万元，可完成巴山区域剩余历史遗留矿山生态修复任务，项目涉及白河、平利、镇坪、汉滨、旬阳、紫阳、汉阴7个县（市、区），治理绩效面积108公顷，目前该批项目除白河、平利未完成外（白河已进场开工、平利完成90%），其余项目均已完成主体工程，年底前可全部完成治理任务。二是按照督察局核查反馈问题，4月初印发了《关于加快推进矿山生态修复工作的通知》，加快推进全历史遗留矿山生态修复项目实施，进一步夯实矿山企业治理恢复责任。开展督察反馈问题整改“回头看” 对照历年中、省环保督察反馈问题、自然资源督察、秦岭明察暗访和信访等问题，举一反三开展排查，重点对秦岭区域历史遗留矿山生态修复治理成效开展“回头看”排查，补充完善项目档案资料，发现问题，立行立改。对主体工程有损毁、复垦复绿效果达不到销号要求的项目及时进行整改。</w:t>
            </w:r>
          </w:p>
        </w:tc>
        <w:tc>
          <w:tcPr>
            <w:tcW w:w="1418" w:type="dxa"/>
            <w:vAlign w:val="center"/>
          </w:tcPr>
          <w:p w14:paraId="598AF606">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正在按时序推进整改</w:t>
            </w:r>
          </w:p>
        </w:tc>
      </w:tr>
      <w:tr w14:paraId="0AB4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4" w:hRule="atLeast"/>
        </w:trPr>
        <w:tc>
          <w:tcPr>
            <w:tcW w:w="980" w:type="dxa"/>
            <w:shd w:val="clear" w:color="auto" w:fill="auto"/>
            <w:vAlign w:val="center"/>
          </w:tcPr>
          <w:p w14:paraId="35CF1E0C">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20</w:t>
            </w:r>
          </w:p>
        </w:tc>
        <w:tc>
          <w:tcPr>
            <w:tcW w:w="4702" w:type="dxa"/>
            <w:shd w:val="clear" w:color="auto" w:fill="auto"/>
            <w:vAlign w:val="center"/>
          </w:tcPr>
          <w:p w14:paraId="65E89D5F">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抽查37个矿石、砂石、物料堆存点位均未办理相关手续，累计违规占地、占林、占河道达125亩，部分县</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区</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自然资源、林业、水利部门监管不严，乱堆乱占破坏生态问题依然存在。</w:t>
            </w:r>
          </w:p>
        </w:tc>
        <w:tc>
          <w:tcPr>
            <w:tcW w:w="7371" w:type="dxa"/>
            <w:vAlign w:val="center"/>
          </w:tcPr>
          <w:p w14:paraId="1C36D89A">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按照市委、市政府整改方案要求，对未办理相关用地手续26个矿石、砂石、物料堆场用地点位，向涉关县（市、区）自然资源局、分局进行了交办，要求提高认识、高度重视，分类施策整改到位。同时，进一步加强物料堆放用地监管力度，实现长效监管。截至目前，已完成平利3个砂石堆场整改，高新区天实商混公司问题已整改到位、坪宝村镇坪县南江电站砂石料有限公司已办理国有建设用地手续，剩余21个问题正在整改中。</w:t>
            </w:r>
          </w:p>
        </w:tc>
        <w:tc>
          <w:tcPr>
            <w:tcW w:w="1418" w:type="dxa"/>
            <w:vAlign w:val="center"/>
          </w:tcPr>
          <w:p w14:paraId="07597B95">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正在按时序推进整改</w:t>
            </w:r>
          </w:p>
        </w:tc>
      </w:tr>
      <w:tr w14:paraId="7447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9" w:hRule="atLeast"/>
        </w:trPr>
        <w:tc>
          <w:tcPr>
            <w:tcW w:w="980" w:type="dxa"/>
            <w:shd w:val="clear" w:color="auto" w:fill="auto"/>
            <w:vAlign w:val="center"/>
          </w:tcPr>
          <w:p w14:paraId="0D9C7813">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21</w:t>
            </w:r>
          </w:p>
        </w:tc>
        <w:tc>
          <w:tcPr>
            <w:tcW w:w="4702" w:type="dxa"/>
            <w:shd w:val="clear" w:color="auto" w:fill="auto"/>
            <w:vAlign w:val="center"/>
          </w:tcPr>
          <w:p w14:paraId="44441F1C">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平利县卓越矿业有限公司违规占地8.7亩堆存矿石；岚皋县城关镇紫君山庄附近一处砂石料违规占用林地约4亩，利和建材销售有限责任公司5.3亩临时用地手续到期后未复垦；紫阳县城关镇国道G541弃渣场、白河县中厂镇宽坪村弃渣场未办理用地手续；石泉县佛坪岭隧道及引线工程2处弃渣场未按水土保持方案要求建设排洪沟、边坡，存在水土流失隐患。</w:t>
            </w:r>
          </w:p>
        </w:tc>
        <w:tc>
          <w:tcPr>
            <w:tcW w:w="7371" w:type="dxa"/>
            <w:vAlign w:val="center"/>
          </w:tcPr>
          <w:p w14:paraId="5DF578E0">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平利县：已完成整改。已对企业违规占地行为进行了查处；企业已清除违规堆放的重晶石原矿，并进行了覆土复绿。</w:t>
            </w:r>
          </w:p>
          <w:p w14:paraId="7C636239">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岚皋县：正在整改中。城关镇紫君山庄附近堆放建筑材料三防措施已落实。县林业局已与省林业局对接，已上会通过，省林业局已下达批复（陕林地许长〔2025〕375号）。岚皋县孟石岭镇人民政府已将案件移交县自然资源局进行查处，县自然资源局下发处罚决定书后，利和建材提起行政诉讼，7月9日安康铁路法院开庭后尚未宣判。</w:t>
            </w:r>
          </w:p>
          <w:p w14:paraId="5B27AF4C">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紫阳县：已完成整改。累计完成土方弃渣清理11400立方米，其中表层剥离3500立方米，地形重塑7900立方米</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同步实施边坡修整和场地平整。完成裸露岩体渣土覆盖面积2.3公顷，覆盖厚度0.5米，覆盖面积已经全部补植复绿。采取网格化种植方式，在修整区栽植杉树苗35000株</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株行距2X2米</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，配套铺设浇水管道2000余米。建立动态监测机制</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针对旱季苗木受损情况及时补植抗旱型刺槐8600株，组建10人管护专班实施隔日精准灌溉，最大限度提升苗木成活率。</w:t>
            </w:r>
          </w:p>
          <w:p w14:paraId="4E7E059C">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白河县：已完成整改。已对弃渣场上堆放的物料进行了覆盖。该宗地于</w:t>
            </w:r>
            <w:bookmarkStart w:id="0" w:name="_GoBack"/>
            <w:bookmarkEnd w:id="0"/>
            <w:r>
              <w:rPr>
                <w:rFonts w:hint="eastAsia" w:ascii="仿宋_GB2312" w:hAnsi="仿宋_GB2312" w:eastAsia="仿宋_GB2312" w:cs="仿宋_GB2312"/>
                <w:kern w:val="0"/>
                <w:sz w:val="22"/>
                <w:szCs w:val="22"/>
              </w:rPr>
              <w:t>2020年1月9日经省政府批准为建设用地，现为县国有储备用地。2025年3月12日，县水利局向县政府申请将该处土地用于城区饮用水工程临时堆放物料。根据《中华人民共和国土地管理法》《土地储备管理办法》</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自然资规</w:t>
            </w:r>
            <w:r>
              <w:rPr>
                <w:rFonts w:hint="eastAsia" w:ascii="仿宋_GB2312" w:hAnsi="仿宋_GB2312" w:eastAsia="仿宋_GB2312" w:cs="仿宋_GB2312"/>
                <w:kern w:val="0"/>
                <w:sz w:val="22"/>
                <w:szCs w:val="22"/>
                <w:lang w:eastAsia="zh-CN"/>
              </w:rPr>
              <w:t>〔2025〕2号）</w:t>
            </w:r>
            <w:r>
              <w:rPr>
                <w:rFonts w:hint="eastAsia" w:ascii="仿宋_GB2312" w:hAnsi="仿宋_GB2312" w:eastAsia="仿宋_GB2312" w:cs="仿宋_GB2312"/>
                <w:kern w:val="0"/>
                <w:sz w:val="22"/>
                <w:szCs w:val="22"/>
              </w:rPr>
              <w:t>等法律法规要求，县政府批准该处土地临时使用，用于县水利局城区饮用水工程临时堆料场。2025年5月9日，县自然资源局与县水利局签订了《储备土地临时利用协议》。</w:t>
            </w:r>
          </w:p>
          <w:p w14:paraId="399AAD69">
            <w:pPr>
              <w:keepNext w:val="0"/>
              <w:keepLines w:val="0"/>
              <w:pageBreakBefore w:val="0"/>
              <w:widowControl/>
              <w:kinsoku/>
              <w:wordWrap/>
              <w:overflowPunct/>
              <w:topLinePunct w:val="0"/>
              <w:autoSpaceDE/>
              <w:autoSpaceDN/>
              <w:bidi w:val="0"/>
              <w:adjustRightInd/>
              <w:snapToGrid/>
              <w:spacing w:line="340" w:lineRule="exact"/>
              <w:ind w:right="0" w:firstLine="440" w:firstLineChars="200"/>
              <w:jc w:val="both"/>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石泉县：正在整改中。石泉县佛坪岭隧道及引线工程施工单位已按照水土保持方案要求，规范渣土堆放，严控堆放区域和堆放高度，完善拦渣墙268米，修建弃渣场排洪沟270米；对弃渣场外侧边坡栽植爬山虎、刺槐等绿植25株，撒种草籽600平方米，确保雨水顺沟渠排放，防止渣土随雨水滑塌，整改措施已落实到位。</w:t>
            </w:r>
          </w:p>
        </w:tc>
        <w:tc>
          <w:tcPr>
            <w:tcW w:w="1418" w:type="dxa"/>
            <w:vAlign w:val="center"/>
          </w:tcPr>
          <w:p w14:paraId="2F2D1649">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正在按时序推进整改</w:t>
            </w:r>
          </w:p>
        </w:tc>
      </w:tr>
      <w:tr w14:paraId="781F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8" w:hRule="atLeast"/>
        </w:trPr>
        <w:tc>
          <w:tcPr>
            <w:tcW w:w="980" w:type="dxa"/>
            <w:shd w:val="clear" w:color="auto" w:fill="auto"/>
            <w:vAlign w:val="center"/>
          </w:tcPr>
          <w:p w14:paraId="2AA46E1A">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22</w:t>
            </w:r>
          </w:p>
        </w:tc>
        <w:tc>
          <w:tcPr>
            <w:tcW w:w="4702" w:type="dxa"/>
            <w:shd w:val="clear" w:color="auto" w:fill="auto"/>
            <w:vAlign w:val="center"/>
          </w:tcPr>
          <w:p w14:paraId="58177C71">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安康市4个县</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市</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未建成规范的建筑垃圾填埋场，2个县未出台建筑垃圾污染环境防治工作规划，9个县</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市</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未启动建筑垃圾管理信息平台建设。</w:t>
            </w:r>
          </w:p>
        </w:tc>
        <w:tc>
          <w:tcPr>
            <w:tcW w:w="7371" w:type="dxa"/>
            <w:vAlign w:val="center"/>
          </w:tcPr>
          <w:p w14:paraId="67728438">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旬阳市目前除冲洗设备尚未完成建设外，其他均已完工，正按程序移交管理主体及权限；岚皋县已完成项目总体工程量的95%；白河县完成项目总量的50%；平利县完成项目总量的70%；汉阴县完成项目总量的53%。</w:t>
            </w:r>
          </w:p>
        </w:tc>
        <w:tc>
          <w:tcPr>
            <w:tcW w:w="1418" w:type="dxa"/>
            <w:vAlign w:val="center"/>
          </w:tcPr>
          <w:p w14:paraId="26CBE95B">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正按时序进度推进整改</w:t>
            </w:r>
          </w:p>
        </w:tc>
      </w:tr>
      <w:tr w14:paraId="1AFD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0" w:hRule="atLeast"/>
        </w:trPr>
        <w:tc>
          <w:tcPr>
            <w:tcW w:w="980" w:type="dxa"/>
            <w:shd w:val="clear" w:color="auto" w:fill="auto"/>
            <w:vAlign w:val="center"/>
          </w:tcPr>
          <w:p w14:paraId="67BBD56E">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23</w:t>
            </w:r>
          </w:p>
        </w:tc>
        <w:tc>
          <w:tcPr>
            <w:tcW w:w="4702" w:type="dxa"/>
            <w:shd w:val="clear" w:color="auto" w:fill="auto"/>
            <w:vAlign w:val="center"/>
          </w:tcPr>
          <w:p w14:paraId="13A19A33">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汉阴县合益固废处置有限公司未获得建筑垃圾消纳场核准资质，累计处置建筑垃圾约7.9万吨；祥华建材有限公司、祥之瑞环保建材有限公司分别于2009年、2020年违规接收处置建筑垃圾；城关镇十天高速沿线违规堆存大量建筑垃圾。</w:t>
            </w:r>
          </w:p>
        </w:tc>
        <w:tc>
          <w:tcPr>
            <w:tcW w:w="7371" w:type="dxa"/>
            <w:vAlign w:val="center"/>
          </w:tcPr>
          <w:p w14:paraId="5436D626">
            <w:pPr>
              <w:keepNext w:val="0"/>
              <w:keepLines w:val="0"/>
              <w:pageBreakBefore w:val="0"/>
              <w:widowControl/>
              <w:kinsoku/>
              <w:wordWrap/>
              <w:overflowPunct/>
              <w:topLinePunct w:val="0"/>
              <w:autoSpaceDE w:val="0"/>
              <w:autoSpaceDN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汉阴县合益固废处置有限公司、祥华建材有限公司、祥之瑞环保建材有限公司违规接收建筑垃圾行为依法实施行政处罚，并协调县行政审批局于2024年11月22日至11月28日完成三家企业建筑垃圾处置消纳许可证核发工作，实现合规运营；对汉阴县合益固废处置有限公司、祥华建材有限公司、祥之瑞环保建材有限公司违规接收建筑垃圾行为依法实施行政处罚，并协调县行政审批局于2024年11月22日至11 月28日完成三家企业建筑垃圾处置消纳许可证核发工作，实现合规运营；已落实十天高速</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韩家湾</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附近乱堆乱倒建筑垃圾、生活垃圾属地管理责任，规范管理十天高速</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韩家湾</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凤凰山隧道A标段堆存的建筑垃圾。</w:t>
            </w:r>
          </w:p>
        </w:tc>
        <w:tc>
          <w:tcPr>
            <w:tcW w:w="1418" w:type="dxa"/>
            <w:vAlign w:val="center"/>
          </w:tcPr>
          <w:p w14:paraId="7E252545">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已完成整改</w:t>
            </w:r>
          </w:p>
        </w:tc>
      </w:tr>
      <w:tr w14:paraId="30AB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7" w:hRule="atLeast"/>
        </w:trPr>
        <w:tc>
          <w:tcPr>
            <w:tcW w:w="980" w:type="dxa"/>
            <w:shd w:val="clear" w:color="auto" w:fill="auto"/>
            <w:vAlign w:val="center"/>
          </w:tcPr>
          <w:p w14:paraId="10787D7B">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24</w:t>
            </w:r>
          </w:p>
        </w:tc>
        <w:tc>
          <w:tcPr>
            <w:tcW w:w="4702" w:type="dxa"/>
            <w:shd w:val="clear" w:color="auto" w:fill="auto"/>
            <w:vAlign w:val="center"/>
          </w:tcPr>
          <w:p w14:paraId="2E98A86C">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白河县金龙建材有限公司等3家企业在未取得有效资质情况下接收处置建筑垃圾；8家工程项目的建筑垃圾运输单位</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个人</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违规拉运建筑垃圾；茅坪镇枫树沟内堆存建筑垃圾约3万立方米，占地约10亩；杨家岩弃土场倾倒建筑垃圾侵占林地2.7亩、草地8.9亩。汉滨区、平利县、镇坪县、安康高新区</w:t>
            </w:r>
            <w:r>
              <w:rPr>
                <w:rFonts w:hint="eastAsia" w:ascii="仿宋_GB2312" w:hAnsi="仿宋_GB2312" w:eastAsia="仿宋_GB2312" w:cs="仿宋_GB2312"/>
                <w:kern w:val="0"/>
                <w:sz w:val="22"/>
                <w:szCs w:val="22"/>
                <w:lang w:eastAsia="zh-CN"/>
              </w:rPr>
              <w:t>城乡接合</w:t>
            </w:r>
            <w:r>
              <w:rPr>
                <w:rFonts w:hint="eastAsia" w:ascii="仿宋_GB2312" w:hAnsi="仿宋_GB2312" w:eastAsia="仿宋_GB2312" w:cs="仿宋_GB2312"/>
                <w:kern w:val="0"/>
                <w:sz w:val="22"/>
                <w:szCs w:val="22"/>
              </w:rPr>
              <w:t>部建筑垃圾乱堆乱倒现象突出。</w:t>
            </w:r>
          </w:p>
        </w:tc>
        <w:tc>
          <w:tcPr>
            <w:tcW w:w="7371" w:type="dxa"/>
            <w:vAlign w:val="center"/>
          </w:tcPr>
          <w:p w14:paraId="492F8242">
            <w:pPr>
              <w:keepNext w:val="0"/>
              <w:keepLines w:val="0"/>
              <w:pageBreakBefore w:val="0"/>
              <w:widowControl/>
              <w:kinsoku/>
              <w:wordWrap/>
              <w:overflowPunct/>
              <w:topLinePunct w:val="0"/>
              <w:autoSpaceDE/>
              <w:autoSpaceDN/>
              <w:bidi w:val="0"/>
              <w:adjustRightInd/>
              <w:snapToGrid/>
              <w:spacing w:line="310" w:lineRule="exact"/>
              <w:ind w:right="0" w:firstLine="440" w:firstLineChars="200"/>
              <w:jc w:val="both"/>
              <w:textAlignment w:val="auto"/>
              <w:outlineLvl w:val="9"/>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白河县：已完成整改。白河县住建局（城管局）已对白河县金龙建材有限公司等3家企业及8家建筑垃圾运输单位（个人）违规行为给予警告，依据相关规定责令限期整改，均已完善建筑垃圾处置、运输资质手续，规范运转行为。茅坪镇枫树沟和杨家岩倾倒的建筑垃圾，分别由茅坪镇政府和县交通局严格按照“一点一策整改方案”完成了整改。对场地进行了平整、复绿、对侵占的林地实施生态恢复。对涉事企业倾倒建筑垃圾（工程渣土）进行了行政处罚。</w:t>
            </w:r>
          </w:p>
          <w:p w14:paraId="4872422C">
            <w:pPr>
              <w:keepNext w:val="0"/>
              <w:keepLines w:val="0"/>
              <w:pageBreakBefore w:val="0"/>
              <w:widowControl/>
              <w:kinsoku/>
              <w:wordWrap/>
              <w:overflowPunct/>
              <w:topLinePunct w:val="0"/>
              <w:autoSpaceDE/>
              <w:autoSpaceDN/>
              <w:bidi w:val="0"/>
              <w:adjustRightInd/>
              <w:snapToGrid/>
              <w:spacing w:line="310" w:lineRule="exact"/>
              <w:ind w:right="0" w:firstLine="440" w:firstLineChars="200"/>
              <w:jc w:val="both"/>
              <w:textAlignment w:val="auto"/>
              <w:outlineLvl w:val="9"/>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汉滨区：正在整改中。印发《中心城区建筑垃圾综合治理整改工作方案》《关于开展建筑垃圾乱堆乱倒排查整治工作分片督导的通知》《关于进一步加强</w:t>
            </w:r>
            <w:r>
              <w:rPr>
                <w:rFonts w:hint="eastAsia" w:ascii="仿宋_GB2312" w:hAnsi="仿宋_GB2312" w:eastAsia="仿宋_GB2312" w:cs="仿宋_GB2312"/>
                <w:sz w:val="22"/>
                <w:szCs w:val="22"/>
                <w:lang w:eastAsia="zh-CN"/>
              </w:rPr>
              <w:t>城乡接合</w:t>
            </w:r>
            <w:r>
              <w:rPr>
                <w:rFonts w:hint="eastAsia" w:ascii="仿宋_GB2312" w:hAnsi="仿宋_GB2312" w:eastAsia="仿宋_GB2312" w:cs="仿宋_GB2312"/>
                <w:sz w:val="22"/>
                <w:szCs w:val="22"/>
              </w:rPr>
              <w:t>部建筑垃圾乱堆乱倒整治的通知》等文件，成立建筑垃圾乱堆乱倒排查整治工作督导检查领导小组，7月累计检查重点点位51处，共发现2处问题，目前2处问题已全部完成整改，下达整改通知书2份；检查工地43处；积极开展联合执法行动 3 次。针对违规行为及时发现、及时现场整改，7月共检查渣土运输清运车辆67辆，对11</w:t>
            </w:r>
            <w:r>
              <w:rPr>
                <w:rFonts w:hint="eastAsia" w:ascii="仿宋_GB2312" w:hAnsi="仿宋_GB2312" w:eastAsia="仿宋_GB2312" w:cs="仿宋_GB2312"/>
                <w:sz w:val="22"/>
                <w:szCs w:val="22"/>
                <w:lang w:eastAsia="zh-CN"/>
              </w:rPr>
              <w:t>台</w:t>
            </w:r>
            <w:r>
              <w:rPr>
                <w:rFonts w:hint="eastAsia" w:ascii="仿宋_GB2312" w:hAnsi="仿宋_GB2312" w:eastAsia="仿宋_GB2312" w:cs="仿宋_GB2312"/>
                <w:sz w:val="22"/>
                <w:szCs w:val="22"/>
              </w:rPr>
              <w:t>车辆进行批评教育。</w:t>
            </w:r>
          </w:p>
          <w:p w14:paraId="4133E3DB">
            <w:pPr>
              <w:keepNext w:val="0"/>
              <w:keepLines w:val="0"/>
              <w:pageBreakBefore w:val="0"/>
              <w:widowControl/>
              <w:kinsoku/>
              <w:wordWrap/>
              <w:overflowPunct/>
              <w:topLinePunct w:val="0"/>
              <w:autoSpaceDE/>
              <w:autoSpaceDN/>
              <w:bidi w:val="0"/>
              <w:adjustRightInd/>
              <w:snapToGrid/>
              <w:spacing w:line="310" w:lineRule="exact"/>
              <w:ind w:right="0" w:firstLine="440" w:firstLineChars="200"/>
              <w:jc w:val="both"/>
              <w:textAlignment w:val="auto"/>
              <w:outlineLvl w:val="9"/>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平利县：已完成整改。制定《平利县城市建筑垃圾专项整治工作实施方案》，</w:t>
            </w:r>
            <w:r>
              <w:rPr>
                <w:rFonts w:hint="eastAsia" w:ascii="仿宋_GB2312" w:hAnsi="仿宋_GB2312" w:eastAsia="仿宋_GB2312" w:cs="仿宋_GB2312"/>
                <w:sz w:val="22"/>
                <w:szCs w:val="22"/>
                <w:lang w:eastAsia="zh-CN"/>
              </w:rPr>
              <w:t>截至</w:t>
            </w:r>
            <w:r>
              <w:rPr>
                <w:rFonts w:hint="eastAsia" w:ascii="仿宋_GB2312" w:hAnsi="仿宋_GB2312" w:eastAsia="仿宋_GB2312" w:cs="仿宋_GB2312"/>
                <w:sz w:val="22"/>
                <w:szCs w:val="22"/>
              </w:rPr>
              <w:t>目前，累计排查发现建筑垃圾乱堆乱倒点位10余处，治理建筑垃圾堆体2000余立方米；严格落实建筑垃圾运输处置备案制，强化“三三联动”，住建、交通、交管等部门开展20余次联合执法，强化源头管理，杜绝建筑垃圾乱堆乱倒。</w:t>
            </w:r>
          </w:p>
          <w:p w14:paraId="6A384AF3">
            <w:pPr>
              <w:keepNext w:val="0"/>
              <w:keepLines w:val="0"/>
              <w:pageBreakBefore w:val="0"/>
              <w:widowControl/>
              <w:kinsoku/>
              <w:wordWrap/>
              <w:overflowPunct/>
              <w:topLinePunct w:val="0"/>
              <w:autoSpaceDE/>
              <w:autoSpaceDN/>
              <w:bidi w:val="0"/>
              <w:adjustRightInd/>
              <w:snapToGrid/>
              <w:spacing w:line="310" w:lineRule="exact"/>
              <w:ind w:right="0" w:firstLine="440" w:firstLineChars="200"/>
              <w:jc w:val="both"/>
              <w:textAlignment w:val="auto"/>
              <w:outlineLvl w:val="9"/>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rPr>
              <w:t>镇坪县：正在整改中。每月开展全域巡查，累计巡查7批次，发现并整改乱堆乱倒点位35处，整改率100%，农村地区乱堆乱倒现象逐步减少。开</w:t>
            </w:r>
            <w:r>
              <w:rPr>
                <w:rFonts w:hint="eastAsia" w:ascii="仿宋_GB2312" w:hAnsi="仿宋_GB2312" w:eastAsia="仿宋_GB2312" w:cs="仿宋_GB2312"/>
                <w:spacing w:val="-6"/>
                <w:sz w:val="22"/>
                <w:szCs w:val="22"/>
              </w:rPr>
              <w:t>展联合执法检查8次，查处违法行为3起，形成有效震慑。组织法律法规集中宣传2次，悬挂横幅20条，张贴合规处置告知书50余份，并公布举报电话及邮箱，提升公众参与度。印发《关于进一步规范城市建筑垃圾产生、运输和处置核准审批工作的通知》文件，明确建筑垃圾核准事项，进一步规范处置流程</w:t>
            </w:r>
            <w:r>
              <w:rPr>
                <w:rFonts w:hint="eastAsia" w:ascii="仿宋_GB2312" w:hAnsi="仿宋_GB2312" w:eastAsia="仿宋_GB2312" w:cs="仿宋_GB2312"/>
                <w:sz w:val="22"/>
                <w:szCs w:val="22"/>
              </w:rPr>
              <w:t>。</w:t>
            </w:r>
          </w:p>
          <w:p w14:paraId="3752EA11">
            <w:pPr>
              <w:keepNext w:val="0"/>
              <w:keepLines w:val="0"/>
              <w:pageBreakBefore w:val="0"/>
              <w:widowControl/>
              <w:kinsoku/>
              <w:wordWrap/>
              <w:overflowPunct/>
              <w:topLinePunct w:val="0"/>
              <w:autoSpaceDE/>
              <w:autoSpaceDN/>
              <w:bidi w:val="0"/>
              <w:adjustRightInd/>
              <w:snapToGrid/>
              <w:spacing w:line="310" w:lineRule="exact"/>
              <w:ind w:right="0" w:firstLine="440" w:firstLineChars="200"/>
              <w:jc w:val="both"/>
              <w:textAlignment w:val="auto"/>
              <w:outlineLvl w:val="9"/>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eastAsia="zh-CN"/>
              </w:rPr>
              <w:t>安康</w:t>
            </w:r>
            <w:r>
              <w:rPr>
                <w:rFonts w:hint="eastAsia" w:ascii="仿宋_GB2312" w:hAnsi="仿宋_GB2312" w:eastAsia="仿宋_GB2312" w:cs="仿宋_GB2312"/>
                <w:sz w:val="22"/>
                <w:szCs w:val="22"/>
              </w:rPr>
              <w:t>高新区：已完成整改。常态化开展建筑垃圾乱堆乱放清理整治，督促各物业小区做好装修垃圾运输监管；建筑垃圾分拣厂已完成建设，目前设备调试阶段，正式运营后可缓解辖区建筑装修垃圾末端处置问题，达到建筑垃圾资源化利用目标。</w:t>
            </w:r>
          </w:p>
        </w:tc>
        <w:tc>
          <w:tcPr>
            <w:tcW w:w="1418" w:type="dxa"/>
            <w:vAlign w:val="center"/>
          </w:tcPr>
          <w:p w14:paraId="6053F859">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正按时序进度推进整改</w:t>
            </w:r>
          </w:p>
        </w:tc>
      </w:tr>
      <w:tr w14:paraId="79B3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6" w:hRule="atLeast"/>
        </w:trPr>
        <w:tc>
          <w:tcPr>
            <w:tcW w:w="980" w:type="dxa"/>
            <w:shd w:val="clear" w:color="auto" w:fill="auto"/>
            <w:vAlign w:val="center"/>
          </w:tcPr>
          <w:p w14:paraId="6894BFFF">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25</w:t>
            </w:r>
          </w:p>
        </w:tc>
        <w:tc>
          <w:tcPr>
            <w:tcW w:w="4702" w:type="dxa"/>
            <w:shd w:val="clear" w:color="auto" w:fill="auto"/>
            <w:vAlign w:val="center"/>
          </w:tcPr>
          <w:p w14:paraId="7D8BFA2F">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2023年9月以来，全市33家医疗机构产出的10.3吨医疗废物未规范收集、分类、暂存；17辆医疗危险废物转运车每天仅8辆运行，且存在未按规定线路行驶问题。全市设有病床的225家医疗机构中，仍有43家未规范建设医疗废物暂存间。</w:t>
            </w:r>
          </w:p>
        </w:tc>
        <w:tc>
          <w:tcPr>
            <w:tcW w:w="7371" w:type="dxa"/>
            <w:vAlign w:val="center"/>
          </w:tcPr>
          <w:p w14:paraId="67C224CA">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对整改成效正在巩固提升中，将联合市级相关单位按时间节点进行市级验收。</w:t>
            </w:r>
          </w:p>
          <w:p w14:paraId="136F16BE">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（一）明确医疗废物分类、收集、暂存等环节职责，明确机构分类收集、暂存、规范称重、交接等工作要求，从源头杜绝医废混装的情况。</w:t>
            </w:r>
          </w:p>
          <w:p w14:paraId="2C6F90B8">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（二）完善病理性废物管理制度，建立医疗废物收集处置信息定期汇总互通共享制度、交接登记制度，规范医废申报登记，实现精细化管理和可溯源追踪。</w:t>
            </w:r>
          </w:p>
          <w:p w14:paraId="5AD15539">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（三）提升市医废中心转运能力，对17辆医疗危险废物转运车规范管理，加大使用频次，严格按规定路线运行。</w:t>
            </w:r>
          </w:p>
          <w:p w14:paraId="06A6572A">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w:t>
            </w:r>
            <w:r>
              <w:rPr>
                <w:rFonts w:hint="eastAsia" w:ascii="仿宋_GB2312" w:hAnsi="仿宋_GB2312" w:eastAsia="仿宋_GB2312" w:cs="仿宋_GB2312"/>
                <w:kern w:val="0"/>
                <w:sz w:val="22"/>
                <w:szCs w:val="22"/>
                <w:lang w:eastAsia="zh-CN"/>
              </w:rPr>
              <w:t>四</w:t>
            </w:r>
            <w:r>
              <w:rPr>
                <w:rFonts w:hint="eastAsia" w:ascii="仿宋_GB2312" w:hAnsi="仿宋_GB2312" w:eastAsia="仿宋_GB2312" w:cs="仿宋_GB2312"/>
                <w:kern w:val="0"/>
                <w:sz w:val="22"/>
                <w:szCs w:val="22"/>
              </w:rPr>
              <w:t>）强化日常管理，加强巡查，监督指导43家医疗机构规范建设医疗废物暂存间，确保医疗废物规范收集、分类、暂存、处置。</w:t>
            </w:r>
          </w:p>
        </w:tc>
        <w:tc>
          <w:tcPr>
            <w:tcW w:w="1418" w:type="dxa"/>
            <w:vAlign w:val="center"/>
          </w:tcPr>
          <w:p w14:paraId="2CEEB2AD">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已完成整改</w:t>
            </w:r>
          </w:p>
        </w:tc>
      </w:tr>
      <w:tr w14:paraId="05FD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9" w:hRule="atLeast"/>
        </w:trPr>
        <w:tc>
          <w:tcPr>
            <w:tcW w:w="980" w:type="dxa"/>
            <w:shd w:val="clear" w:color="auto" w:fill="auto"/>
            <w:vAlign w:val="center"/>
          </w:tcPr>
          <w:p w14:paraId="34F88F3E">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26</w:t>
            </w:r>
          </w:p>
        </w:tc>
        <w:tc>
          <w:tcPr>
            <w:tcW w:w="4702" w:type="dxa"/>
            <w:shd w:val="clear" w:color="auto" w:fill="auto"/>
            <w:vAlign w:val="center"/>
          </w:tcPr>
          <w:p w14:paraId="5DEFDEFF">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岚皋县、紫阳县4家汽修店危废暂存间建设不规范、废机油桶乱堆乱放问题突出；瀛湖生态旅游区水上交通运输管理部门将45只船舶废旧电瓶转卖私人个体户。</w:t>
            </w:r>
          </w:p>
        </w:tc>
        <w:tc>
          <w:tcPr>
            <w:tcW w:w="7371" w:type="dxa"/>
            <w:vAlign w:val="center"/>
          </w:tcPr>
          <w:p w14:paraId="516CDF9B">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岚皋县：已完成整改。汽修企业规范建设危险废物贮存间，分类处置危废品，建立危废品处置台账，规范申报、处置危废品。</w:t>
            </w:r>
          </w:p>
          <w:p w14:paraId="3AA6DC77">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紫阳县：已完成整改。已对蒿坪拓展汽修和强祥汽修厂危废贮存间进行规范，正确张贴危险废物暂存设施标识，建立危废品处置台账。</w:t>
            </w:r>
          </w:p>
          <w:p w14:paraId="24F48206">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瀛湖区：正在推进整改。</w:t>
            </w:r>
          </w:p>
        </w:tc>
        <w:tc>
          <w:tcPr>
            <w:tcW w:w="1418" w:type="dxa"/>
            <w:vAlign w:val="center"/>
          </w:tcPr>
          <w:p w14:paraId="754230A1">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正在按时序推进整改</w:t>
            </w:r>
          </w:p>
        </w:tc>
      </w:tr>
      <w:tr w14:paraId="2031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0" w:hRule="atLeast"/>
        </w:trPr>
        <w:tc>
          <w:tcPr>
            <w:tcW w:w="980" w:type="dxa"/>
            <w:shd w:val="clear" w:color="auto" w:fill="auto"/>
            <w:vAlign w:val="center"/>
          </w:tcPr>
          <w:p w14:paraId="2866E651">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27</w:t>
            </w:r>
          </w:p>
        </w:tc>
        <w:tc>
          <w:tcPr>
            <w:tcW w:w="4702" w:type="dxa"/>
            <w:shd w:val="clear" w:color="auto" w:fill="auto"/>
            <w:vAlign w:val="center"/>
          </w:tcPr>
          <w:p w14:paraId="19D57F4C">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督察还发现，安康市巴山区域小水电整改退出工作推进缓慢，还有11家整改类小水电未取得环评手续，抽查2家部分时段生态下泄流量未满足要求。</w:t>
            </w:r>
          </w:p>
        </w:tc>
        <w:tc>
          <w:tcPr>
            <w:tcW w:w="7371" w:type="dxa"/>
            <w:vAlign w:val="center"/>
          </w:tcPr>
          <w:p w14:paraId="614C0913">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安康巴山区域现有水电站115座，整改类电站中环评手续办理11项。截至目前，镇坪县大王包、鱼泉河一级、小溪河、新曙河、上竹、八宝溪水电站，紫阳县毛坝关水电站，岚皋县赵坪、向阳、花坝、蔺河口生态机组等11处水电站环评手续均已批复。为确保小水电站生态流量稳定达标，将建立常态化、多维度监管机制。通过线上监测与线下巡查相结合的方式，动态排查生态流量泄放状况，对发现的问题立行立改。严格落实省平台生态流量泄放特殊情况实时报备制度，以全流程闭环管理，坚决杜绝减脱水河段形成，切实维护河流生态系统健康。</w:t>
            </w:r>
          </w:p>
        </w:tc>
        <w:tc>
          <w:tcPr>
            <w:tcW w:w="1418" w:type="dxa"/>
            <w:vAlign w:val="center"/>
          </w:tcPr>
          <w:p w14:paraId="233726F8">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已完成整改</w:t>
            </w:r>
          </w:p>
        </w:tc>
      </w:tr>
      <w:tr w14:paraId="14E2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8" w:hRule="atLeast"/>
        </w:trPr>
        <w:tc>
          <w:tcPr>
            <w:tcW w:w="980" w:type="dxa"/>
            <w:shd w:val="clear" w:color="auto" w:fill="auto"/>
            <w:vAlign w:val="center"/>
          </w:tcPr>
          <w:p w14:paraId="29610E72">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28</w:t>
            </w:r>
          </w:p>
        </w:tc>
        <w:tc>
          <w:tcPr>
            <w:tcW w:w="4702" w:type="dxa"/>
            <w:shd w:val="clear" w:color="auto" w:fill="auto"/>
            <w:vAlign w:val="center"/>
          </w:tcPr>
          <w:p w14:paraId="0DA05092">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督察还发现，随机抽查4家企业，均存在自行监测不规范、监测报告数据造假等问题。陕西地矿安康秦汉实验检测有限公司为汉滨区大竹园七堰</w:t>
            </w:r>
            <w:r>
              <w:rPr>
                <w:rFonts w:hint="eastAsia" w:ascii="仿宋_GB2312" w:hAnsi="仿宋_GB2312" w:eastAsia="仿宋_GB2312" w:cs="仿宋_GB2312"/>
                <w:kern w:val="0"/>
                <w:sz w:val="22"/>
                <w:szCs w:val="22"/>
                <w:lang w:eastAsia="zh-CN"/>
              </w:rPr>
              <w:t>污水处理厂</w:t>
            </w:r>
            <w:r>
              <w:rPr>
                <w:rFonts w:hint="eastAsia" w:ascii="仿宋_GB2312" w:hAnsi="仿宋_GB2312" w:eastAsia="仿宋_GB2312" w:cs="仿宋_GB2312"/>
                <w:kern w:val="0"/>
                <w:sz w:val="22"/>
                <w:szCs w:val="22"/>
              </w:rPr>
              <w:t>出具的噪声检测报告数据与原始记录数据不一致。陕西博森检测技术有限公司对安康高新区污水处理厂开展无组织废气监测，原始采样品编号与监测报告不符。陕西华准通检测技术有限公司对石泉县中池镇、池河镇卫生院开展噪声监测中，在未达到设定时长下进行监测，出具合格</w:t>
            </w:r>
            <w:r>
              <w:rPr>
                <w:rFonts w:hint="eastAsia" w:ascii="仿宋_GB2312" w:hAnsi="仿宋_GB2312" w:eastAsia="仿宋_GB2312" w:cs="仿宋_GB2312"/>
                <w:kern w:val="0"/>
                <w:sz w:val="22"/>
                <w:szCs w:val="22"/>
                <w:lang w:eastAsia="zh-CN"/>
              </w:rPr>
              <w:t>检测报告</w:t>
            </w:r>
            <w:r>
              <w:rPr>
                <w:rFonts w:hint="eastAsia" w:ascii="仿宋_GB2312" w:hAnsi="仿宋_GB2312" w:eastAsia="仿宋_GB2312" w:cs="仿宋_GB2312"/>
                <w:kern w:val="0"/>
                <w:sz w:val="22"/>
                <w:szCs w:val="22"/>
              </w:rPr>
              <w:t>。陕西华康检验检测有限责任公司对旬阳市人民医院医疗废水监测中，登记采样时间和实际采样时间不一致。</w:t>
            </w:r>
          </w:p>
        </w:tc>
        <w:tc>
          <w:tcPr>
            <w:tcW w:w="7371" w:type="dxa"/>
            <w:vAlign w:val="center"/>
          </w:tcPr>
          <w:p w14:paraId="7831534F">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经核查，责令华康检测公司加强从业人员管理，对人员违规取样行为进行批评教育，杜绝违规现象发生。对博森检测公司进行了行政处罚4000元，没收违法所得4000元。对华准通检测公司和秦汉实验检测公司下达责令整改通知书，要求限期整改。</w:t>
            </w:r>
          </w:p>
        </w:tc>
        <w:tc>
          <w:tcPr>
            <w:tcW w:w="1418" w:type="dxa"/>
            <w:vAlign w:val="center"/>
          </w:tcPr>
          <w:p w14:paraId="5F8B187A">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已完成整改</w:t>
            </w:r>
          </w:p>
        </w:tc>
      </w:tr>
    </w:tbl>
    <w:p w14:paraId="7C69B027">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sectPr>
          <w:footerReference r:id="rId3" w:type="default"/>
          <w:footerReference r:id="rId4" w:type="even"/>
          <w:pgSz w:w="16838" w:h="11906" w:orient="landscape"/>
          <w:pgMar w:top="1191" w:right="1247" w:bottom="1191" w:left="1247" w:header="851" w:footer="1021" w:gutter="0"/>
          <w:pgNumType w:fmt="decimal"/>
          <w:cols w:space="720" w:num="1"/>
          <w:docGrid w:type="linesAndChars" w:linePitch="312" w:charSpace="0"/>
        </w:sectPr>
      </w:pPr>
    </w:p>
    <w:tbl>
      <w:tblPr>
        <w:tblStyle w:val="17"/>
        <w:tblW w:w="12762"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4140"/>
        <w:gridCol w:w="6765"/>
        <w:gridCol w:w="1275"/>
      </w:tblGrid>
      <w:tr w14:paraId="6E75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0" w:hRule="atLeast"/>
        </w:trPr>
        <w:tc>
          <w:tcPr>
            <w:tcW w:w="582" w:type="dxa"/>
            <w:shd w:val="clear" w:color="auto" w:fill="auto"/>
            <w:vAlign w:val="center"/>
          </w:tcPr>
          <w:p w14:paraId="634CD622">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29</w:t>
            </w:r>
          </w:p>
        </w:tc>
        <w:tc>
          <w:tcPr>
            <w:tcW w:w="4140" w:type="dxa"/>
            <w:shd w:val="clear" w:color="auto" w:fill="auto"/>
            <w:vAlign w:val="center"/>
          </w:tcPr>
          <w:p w14:paraId="61DE5781">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长江“十年禁捕</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河湖长制”落实不够精细，河道“四乱”依然存在，瀛湖生态旅游区未按要求编制规划环评，未制定禁渔工作方案和巡查制度，违规设置多处垂钓房；汉水生态农业科技开发有限公司存鱼网箱数量批小建大。</w:t>
            </w:r>
          </w:p>
        </w:tc>
        <w:tc>
          <w:tcPr>
            <w:tcW w:w="6765" w:type="dxa"/>
            <w:vAlign w:val="center"/>
          </w:tcPr>
          <w:p w14:paraId="6491E47A">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一是2025年1月会同公检法机关开展联合督导，全市范围内河湖环境改善成效显著，“四乱”问题得到有效整治；二是要求各县（市、区）积极组织志愿者队伍和护河员清理河道垃圾，恢复河道生态健康，营造良好护河氛围；三是3月19日召开全市河湖长制工作暨“亮剑护河2025”河道非法采砂专项整治行动工作会议，安排部署河湖长制相关工作，持续推进“亮剑护河2025”河道非法采砂专项整治行动，确保河湖生态安全，维护河湖健康，4月至5月市河长办会同市中级人民法院、市人民检察院、市公安局、市司法局按照《安康市“亮剑护河 2025”河道非法采砂专项整治行动方案》，由6名县级领导分别带队，采取“四不两直”的方式，深入各县市区河湖一线检查河湖保护管理情况；四是完善四级河湖长名录，压实河湖长责任，要求各级河湖长严格按照巡河要求开展有效巡河。市河长办将采用“四不两直”的方式，不定期深入河湖一线开展暗访督导工作，发现问题，督办整改。                                                                           </w:t>
            </w:r>
          </w:p>
          <w:p w14:paraId="54D8BE54">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瀛湖</w:t>
            </w:r>
            <w:r>
              <w:rPr>
                <w:rFonts w:hint="eastAsia" w:ascii="仿宋_GB2312" w:hAnsi="仿宋_GB2312" w:eastAsia="仿宋_GB2312" w:cs="仿宋_GB2312"/>
                <w:sz w:val="22"/>
                <w:szCs w:val="22"/>
                <w:lang w:eastAsia="zh-CN"/>
              </w:rPr>
              <w:t>生态旅游</w:t>
            </w:r>
            <w:r>
              <w:rPr>
                <w:rFonts w:hint="eastAsia" w:ascii="仿宋_GB2312" w:hAnsi="仿宋_GB2312" w:eastAsia="仿宋_GB2312" w:cs="仿宋_GB2312"/>
                <w:sz w:val="22"/>
                <w:szCs w:val="22"/>
              </w:rPr>
              <w:t>区：正在整改中。已对接第三方公司启动《瀛湖生态旅游区规划环评》编制工作。已完成汉水生态农业科技开发有限公司存鱼网箱超出审批养殖网箱拆除工作。</w:t>
            </w:r>
          </w:p>
        </w:tc>
        <w:tc>
          <w:tcPr>
            <w:tcW w:w="1275" w:type="dxa"/>
            <w:vAlign w:val="center"/>
          </w:tcPr>
          <w:p w14:paraId="377ED904">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正按时序进度推进整改</w:t>
            </w:r>
          </w:p>
        </w:tc>
      </w:tr>
      <w:tr w14:paraId="7420A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trPr>
        <w:tc>
          <w:tcPr>
            <w:tcW w:w="582" w:type="dxa"/>
            <w:shd w:val="clear" w:color="auto" w:fill="auto"/>
            <w:vAlign w:val="center"/>
          </w:tcPr>
          <w:p w14:paraId="67DA3054">
            <w:pPr>
              <w:keepNext w:val="0"/>
              <w:keepLines w:val="0"/>
              <w:pageBreakBefore w:val="0"/>
              <w:widowControl/>
              <w:kinsoku/>
              <w:wordWrap/>
              <w:overflowPunct/>
              <w:topLinePunct w:val="0"/>
              <w:bidi w:val="0"/>
              <w:adjustRightInd/>
              <w:snapToGrid/>
              <w:spacing w:line="360" w:lineRule="exact"/>
              <w:ind w:right="0"/>
              <w:jc w:val="center"/>
              <w:textAlignment w:val="auto"/>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30</w:t>
            </w:r>
          </w:p>
        </w:tc>
        <w:tc>
          <w:tcPr>
            <w:tcW w:w="4140" w:type="dxa"/>
            <w:shd w:val="clear" w:color="auto" w:fill="auto"/>
            <w:vAlign w:val="center"/>
          </w:tcPr>
          <w:p w14:paraId="04FE35FF">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安康市未按《陕西省“十四五”医疗废物收集处置能力建设规划》要求，完成新增病理性、化学性、药物性医疗废物处置能力不低于17吨/年的目标任务。</w:t>
            </w:r>
          </w:p>
        </w:tc>
        <w:tc>
          <w:tcPr>
            <w:tcW w:w="6765" w:type="dxa"/>
            <w:vAlign w:val="center"/>
          </w:tcPr>
          <w:p w14:paraId="523C45EC">
            <w:pPr>
              <w:keepNext w:val="0"/>
              <w:keepLines w:val="0"/>
              <w:pageBreakBefore w:val="0"/>
              <w:widowControl/>
              <w:kinsoku/>
              <w:wordWrap/>
              <w:overflowPunct/>
              <w:topLinePunct w:val="0"/>
              <w:bidi w:val="0"/>
              <w:adjustRightInd/>
              <w:snapToGrid/>
              <w:spacing w:line="360" w:lineRule="exact"/>
              <w:ind w:right="0" w:firstLine="440" w:firstLineChars="200"/>
              <w:jc w:val="both"/>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旬阳市医疗废物危险废物收集处置项目目前土地预征公告已</w:t>
            </w:r>
            <w:r>
              <w:rPr>
                <w:rFonts w:hint="eastAsia" w:ascii="仿宋_GB2312" w:hAnsi="仿宋_GB2312" w:eastAsia="仿宋_GB2312" w:cs="仿宋_GB2312"/>
                <w:kern w:val="0"/>
                <w:sz w:val="22"/>
                <w:szCs w:val="22"/>
                <w:lang w:eastAsia="zh-CN"/>
              </w:rPr>
              <w:t>发布</w:t>
            </w:r>
            <w:r>
              <w:rPr>
                <w:rFonts w:hint="eastAsia" w:ascii="仿宋_GB2312" w:hAnsi="仿宋_GB2312" w:eastAsia="仿宋_GB2312" w:cs="仿宋_GB2312"/>
                <w:kern w:val="0"/>
                <w:sz w:val="22"/>
                <w:szCs w:val="22"/>
              </w:rPr>
              <w:t>，已</w:t>
            </w:r>
            <w:r>
              <w:rPr>
                <w:rFonts w:hint="eastAsia" w:ascii="仿宋_GB2312" w:hAnsi="仿宋_GB2312" w:eastAsia="仿宋_GB2312" w:cs="仿宋_GB2312"/>
                <w:kern w:val="0"/>
                <w:sz w:val="22"/>
                <w:szCs w:val="22"/>
                <w:lang w:eastAsia="zh-CN"/>
              </w:rPr>
              <w:t>完成项目可行性研究、</w:t>
            </w:r>
            <w:r>
              <w:rPr>
                <w:rFonts w:hint="eastAsia" w:ascii="仿宋_GB2312" w:hAnsi="仿宋_GB2312" w:eastAsia="仿宋_GB2312" w:cs="仿宋_GB2312"/>
                <w:kern w:val="0"/>
                <w:sz w:val="22"/>
                <w:szCs w:val="22"/>
              </w:rPr>
              <w:t>社会稳定风险评估</w:t>
            </w:r>
            <w:r>
              <w:rPr>
                <w:rFonts w:hint="eastAsia" w:ascii="仿宋_GB2312" w:hAnsi="仿宋_GB2312" w:eastAsia="仿宋_GB2312" w:cs="仿宋_GB2312"/>
                <w:kern w:val="0"/>
                <w:sz w:val="22"/>
                <w:szCs w:val="22"/>
                <w:lang w:eastAsia="zh-CN"/>
              </w:rPr>
              <w:t>，取得项目</w:t>
            </w:r>
            <w:r>
              <w:rPr>
                <w:rFonts w:hint="eastAsia" w:ascii="仿宋_GB2312" w:hAnsi="仿宋_GB2312" w:eastAsia="仿宋_GB2312" w:cs="仿宋_GB2312"/>
                <w:kern w:val="0"/>
                <w:sz w:val="22"/>
                <w:szCs w:val="22"/>
              </w:rPr>
              <w:t>建议书批复</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林地</w:t>
            </w:r>
            <w:r>
              <w:rPr>
                <w:rFonts w:hint="eastAsia" w:ascii="仿宋_GB2312" w:hAnsi="仿宋_GB2312" w:eastAsia="仿宋_GB2312" w:cs="仿宋_GB2312"/>
                <w:kern w:val="0"/>
                <w:sz w:val="22"/>
                <w:szCs w:val="22"/>
                <w:lang w:eastAsia="zh-CN"/>
              </w:rPr>
              <w:t>使用手续、</w:t>
            </w:r>
            <w:r>
              <w:rPr>
                <w:rFonts w:hint="eastAsia" w:ascii="仿宋_GB2312" w:hAnsi="仿宋_GB2312" w:eastAsia="仿宋_GB2312" w:cs="仿宋_GB2312"/>
                <w:kern w:val="0"/>
                <w:sz w:val="22"/>
                <w:szCs w:val="22"/>
              </w:rPr>
              <w:t>环评</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文物预审。正在进行土地摸底调查。</w:t>
            </w:r>
          </w:p>
        </w:tc>
        <w:tc>
          <w:tcPr>
            <w:tcW w:w="1275" w:type="dxa"/>
            <w:vAlign w:val="center"/>
          </w:tcPr>
          <w:p w14:paraId="17FDA1BD">
            <w:pPr>
              <w:keepNext w:val="0"/>
              <w:keepLines w:val="0"/>
              <w:pageBreakBefore w:val="0"/>
              <w:widowControl/>
              <w:kinsoku/>
              <w:wordWrap/>
              <w:overflowPunct/>
              <w:topLinePunct w:val="0"/>
              <w:bidi w:val="0"/>
              <w:adjustRightInd/>
              <w:snapToGrid/>
              <w:spacing w:line="360" w:lineRule="exact"/>
              <w:ind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正按时序进度推进整改</w:t>
            </w:r>
          </w:p>
        </w:tc>
      </w:tr>
    </w:tbl>
    <w:p w14:paraId="11801A6A">
      <w:pPr>
        <w:rPr>
          <w:rFonts w:hint="default"/>
          <w:lang w:val="en-US" w:eastAsia="zh-CN"/>
        </w:rPr>
      </w:pPr>
    </w:p>
    <w:p w14:paraId="7BC95B91">
      <w:pPr>
        <w:rPr>
          <w:rFonts w:hint="default"/>
          <w:lang w:val="en-US" w:eastAsia="zh-CN"/>
        </w:rPr>
      </w:pPr>
    </w:p>
    <w:sectPr>
      <w:footerReference r:id="rId5" w:type="default"/>
      <w:footerReference r:id="rId6" w:type="even"/>
      <w:pgSz w:w="16838" w:h="11906" w:orient="landscape"/>
      <w:pgMar w:top="1587" w:right="2098" w:bottom="1474" w:left="1984" w:header="851" w:footer="1587" w:gutter="0"/>
      <w:pgNumType w:fmt="decimal"/>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方正小标宋_GBK">
    <w:altName w:val="Arial Unicode MS"/>
    <w:panose1 w:val="02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Baskerville Old Face">
    <w:panose1 w:val="02020602080505020303"/>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FBFD6">
    <w:pPr>
      <w:pStyle w:val="13"/>
      <w:tabs>
        <w:tab w:val="center" w:pos="7232"/>
        <w:tab w:val="left" w:pos="13712"/>
      </w:tabs>
      <w:jc w:val="lef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F64AD79">
                          <w:pPr>
                            <w:pStyle w:val="13"/>
                            <w:rPr>
                              <w:rFonts w:hint="eastAsia" w:ascii="仿宋_GB2312" w:hAnsi="仿宋_GB2312" w:eastAsia="仿宋_GB2312" w:cs="仿宋_GB2312"/>
                              <w:color w:val="A6A6A6" w:themeColor="background1" w:themeShade="A6"/>
                              <w:sz w:val="32"/>
                              <w:szCs w:val="32"/>
                              <w:lang w:val="en-US" w:eastAsia="zh-CN"/>
                            </w:rPr>
                          </w:pPr>
                          <w:r>
                            <w:rPr>
                              <w:rFonts w:hint="eastAsia" w:ascii="仿宋_GB2312" w:hAnsi="仿宋_GB2312" w:eastAsia="仿宋_GB2312" w:cs="仿宋_GB2312"/>
                              <w:color w:val="A6A6A6" w:themeColor="background1" w:themeShade="A6"/>
                              <w:sz w:val="32"/>
                              <w:szCs w:val="32"/>
                              <w:lang w:val="en-US" w:eastAsia="zh-CN"/>
                            </w:rPr>
                            <w:t>-</w:t>
                          </w:r>
                          <w:r>
                            <w:rPr>
                              <w:rFonts w:hint="eastAsia" w:ascii="仿宋_GB2312" w:hAnsi="仿宋_GB2312" w:eastAsia="仿宋_GB2312" w:cs="仿宋_GB2312"/>
                              <w:color w:val="A6A6A6" w:themeColor="background1" w:themeShade="A6"/>
                              <w:sz w:val="32"/>
                              <w:szCs w:val="32"/>
                            </w:rPr>
                            <w:fldChar w:fldCharType="begin"/>
                          </w:r>
                          <w:r>
                            <w:rPr>
                              <w:rFonts w:hint="eastAsia" w:ascii="仿宋_GB2312" w:hAnsi="仿宋_GB2312" w:eastAsia="仿宋_GB2312" w:cs="仿宋_GB2312"/>
                              <w:color w:val="A6A6A6" w:themeColor="background1" w:themeShade="A6"/>
                              <w:sz w:val="32"/>
                              <w:szCs w:val="32"/>
                            </w:rPr>
                            <w:instrText xml:space="preserve"> PAGE  \* MERGEFORMAT </w:instrText>
                          </w:r>
                          <w:r>
                            <w:rPr>
                              <w:rFonts w:hint="eastAsia" w:ascii="仿宋_GB2312" w:hAnsi="仿宋_GB2312" w:eastAsia="仿宋_GB2312" w:cs="仿宋_GB2312"/>
                              <w:color w:val="A6A6A6" w:themeColor="background1" w:themeShade="A6"/>
                              <w:sz w:val="32"/>
                              <w:szCs w:val="32"/>
                            </w:rPr>
                            <w:fldChar w:fldCharType="separate"/>
                          </w:r>
                          <w:r>
                            <w:rPr>
                              <w:rFonts w:hint="eastAsia" w:ascii="仿宋_GB2312" w:hAnsi="仿宋_GB2312" w:eastAsia="仿宋_GB2312" w:cs="仿宋_GB2312"/>
                              <w:color w:val="A6A6A6" w:themeColor="background1" w:themeShade="A6"/>
                              <w:sz w:val="32"/>
                              <w:szCs w:val="32"/>
                            </w:rPr>
                            <w:t>1</w:t>
                          </w:r>
                          <w:r>
                            <w:rPr>
                              <w:rFonts w:hint="eastAsia" w:ascii="仿宋_GB2312" w:hAnsi="仿宋_GB2312" w:eastAsia="仿宋_GB2312" w:cs="仿宋_GB2312"/>
                              <w:color w:val="A6A6A6" w:themeColor="background1" w:themeShade="A6"/>
                              <w:sz w:val="32"/>
                              <w:szCs w:val="32"/>
                            </w:rPr>
                            <w:fldChar w:fldCharType="end"/>
                          </w:r>
                          <w:r>
                            <w:rPr>
                              <w:rFonts w:hint="eastAsia" w:ascii="仿宋_GB2312" w:hAnsi="仿宋_GB2312" w:eastAsia="仿宋_GB2312" w:cs="仿宋_GB2312"/>
                              <w:color w:val="A6A6A6" w:themeColor="background1" w:themeShade="A6"/>
                              <w:sz w:val="32"/>
                              <w:szCs w:val="32"/>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A3uL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jA3uLeAgAAJgYAAA4AAAAAAAAAAQAgAAAAHwEAAGRycy9lMm9Eb2MueG1sUEsF&#10;BgAAAAAGAAYAWQEAAG8GAAAAAA==&#10;">
              <v:fill on="f" focussize="0,0"/>
              <v:stroke on="f" weight="0.5pt"/>
              <v:imagedata o:title=""/>
              <o:lock v:ext="edit" aspectratio="f"/>
              <v:textbox inset="0mm,0mm,0mm,0mm" style="mso-fit-shape-to-text:t;">
                <w:txbxContent>
                  <w:p w14:paraId="6F64AD79">
                    <w:pPr>
                      <w:pStyle w:val="13"/>
                      <w:rPr>
                        <w:rFonts w:hint="eastAsia" w:ascii="仿宋_GB2312" w:hAnsi="仿宋_GB2312" w:eastAsia="仿宋_GB2312" w:cs="仿宋_GB2312"/>
                        <w:color w:val="A6A6A6" w:themeColor="background1" w:themeShade="A6"/>
                        <w:sz w:val="32"/>
                        <w:szCs w:val="32"/>
                        <w:lang w:val="en-US" w:eastAsia="zh-CN"/>
                      </w:rPr>
                    </w:pPr>
                    <w:r>
                      <w:rPr>
                        <w:rFonts w:hint="eastAsia" w:ascii="仿宋_GB2312" w:hAnsi="仿宋_GB2312" w:eastAsia="仿宋_GB2312" w:cs="仿宋_GB2312"/>
                        <w:color w:val="A6A6A6" w:themeColor="background1" w:themeShade="A6"/>
                        <w:sz w:val="32"/>
                        <w:szCs w:val="32"/>
                        <w:lang w:val="en-US" w:eastAsia="zh-CN"/>
                      </w:rPr>
                      <w:t>-</w:t>
                    </w:r>
                    <w:r>
                      <w:rPr>
                        <w:rFonts w:hint="eastAsia" w:ascii="仿宋_GB2312" w:hAnsi="仿宋_GB2312" w:eastAsia="仿宋_GB2312" w:cs="仿宋_GB2312"/>
                        <w:color w:val="A6A6A6" w:themeColor="background1" w:themeShade="A6"/>
                        <w:sz w:val="32"/>
                        <w:szCs w:val="32"/>
                      </w:rPr>
                      <w:fldChar w:fldCharType="begin"/>
                    </w:r>
                    <w:r>
                      <w:rPr>
                        <w:rFonts w:hint="eastAsia" w:ascii="仿宋_GB2312" w:hAnsi="仿宋_GB2312" w:eastAsia="仿宋_GB2312" w:cs="仿宋_GB2312"/>
                        <w:color w:val="A6A6A6" w:themeColor="background1" w:themeShade="A6"/>
                        <w:sz w:val="32"/>
                        <w:szCs w:val="32"/>
                      </w:rPr>
                      <w:instrText xml:space="preserve"> PAGE  \* MERGEFORMAT </w:instrText>
                    </w:r>
                    <w:r>
                      <w:rPr>
                        <w:rFonts w:hint="eastAsia" w:ascii="仿宋_GB2312" w:hAnsi="仿宋_GB2312" w:eastAsia="仿宋_GB2312" w:cs="仿宋_GB2312"/>
                        <w:color w:val="A6A6A6" w:themeColor="background1" w:themeShade="A6"/>
                        <w:sz w:val="32"/>
                        <w:szCs w:val="32"/>
                      </w:rPr>
                      <w:fldChar w:fldCharType="separate"/>
                    </w:r>
                    <w:r>
                      <w:rPr>
                        <w:rFonts w:hint="eastAsia" w:ascii="仿宋_GB2312" w:hAnsi="仿宋_GB2312" w:eastAsia="仿宋_GB2312" w:cs="仿宋_GB2312"/>
                        <w:color w:val="A6A6A6" w:themeColor="background1" w:themeShade="A6"/>
                        <w:sz w:val="32"/>
                        <w:szCs w:val="32"/>
                      </w:rPr>
                      <w:t>1</w:t>
                    </w:r>
                    <w:r>
                      <w:rPr>
                        <w:rFonts w:hint="eastAsia" w:ascii="仿宋_GB2312" w:hAnsi="仿宋_GB2312" w:eastAsia="仿宋_GB2312" w:cs="仿宋_GB2312"/>
                        <w:color w:val="A6A6A6" w:themeColor="background1" w:themeShade="A6"/>
                        <w:sz w:val="32"/>
                        <w:szCs w:val="32"/>
                      </w:rPr>
                      <w:fldChar w:fldCharType="end"/>
                    </w:r>
                    <w:r>
                      <w:rPr>
                        <w:rFonts w:hint="eastAsia" w:ascii="仿宋_GB2312" w:hAnsi="仿宋_GB2312" w:eastAsia="仿宋_GB2312" w:cs="仿宋_GB2312"/>
                        <w:color w:val="A6A6A6" w:themeColor="background1" w:themeShade="A6"/>
                        <w:sz w:val="32"/>
                        <w:szCs w:val="32"/>
                        <w:lang w:val="en-US" w:eastAsia="zh-CN"/>
                      </w:rPr>
                      <w:t>-</w:t>
                    </w:r>
                  </w:p>
                </w:txbxContent>
              </v:textbox>
            </v:shape>
          </w:pict>
        </mc:Fallback>
      </mc:AlternateContent>
    </w:r>
    <w:r>
      <w:rPr>
        <w:rFonts w:hint="eastAsia" w:ascii="宋体" w:hAnsi="宋体"/>
        <w:sz w:val="28"/>
        <w:szCs w:val="28"/>
        <w:lang w:eastAsia="zh-CN"/>
      </w:rPr>
      <w:tab/>
      <w:t/>
    </w:r>
    <w:r>
      <w:rPr>
        <w:rFonts w:hint="eastAsia" w:ascii="宋体" w:hAnsi="宋体"/>
        <w:sz w:val="28"/>
        <w:szCs w:val="28"/>
        <w:lang w:eastAsia="zh-CN"/>
      </w:rPr>
      <w:tab/>
      <w:t/>
    </w:r>
    <w:r>
      <w:rPr>
        <w:rFonts w:hint="eastAsia" w:ascii="宋体" w:hAnsi="宋体"/>
        <w:sz w:val="28"/>
        <w:szCs w:val="28"/>
        <w:lang w:eastAsia="zh-CN"/>
      </w:rPr>
      <w:tab/>
      <w:t/>
    </w:r>
    <w:r>
      <w:rPr>
        <w:rFonts w:hint="eastAsia" w:ascii="宋体" w:hAnsi="宋体"/>
        <w:sz w:val="28"/>
        <w:szCs w:val="28"/>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03434">
    <w:pPr>
      <w:pStyle w:val="13"/>
      <w:jc w:val="center"/>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12A8A89">
                          <w:pPr>
                            <w:pStyle w:val="13"/>
                            <w:rPr>
                              <w:rFonts w:hint="eastAsia" w:ascii="仿宋_GB2312" w:hAnsi="仿宋_GB2312" w:eastAsia="仿宋_GB2312" w:cs="仿宋_GB2312"/>
                              <w:color w:val="A6A6A6" w:themeColor="background1" w:themeShade="A6"/>
                              <w:sz w:val="32"/>
                              <w:szCs w:val="32"/>
                              <w:lang w:val="en-US" w:eastAsia="zh-CN"/>
                            </w:rPr>
                          </w:pPr>
                          <w:r>
                            <w:rPr>
                              <w:rFonts w:hint="eastAsia" w:ascii="仿宋_GB2312" w:hAnsi="仿宋_GB2312" w:eastAsia="仿宋_GB2312" w:cs="仿宋_GB2312"/>
                              <w:color w:val="A6A6A6" w:themeColor="background1" w:themeShade="A6"/>
                              <w:sz w:val="32"/>
                              <w:szCs w:val="32"/>
                              <w:lang w:val="en-US" w:eastAsia="zh-CN"/>
                            </w:rPr>
                            <w:t>-</w:t>
                          </w:r>
                          <w:r>
                            <w:rPr>
                              <w:rFonts w:hint="eastAsia" w:ascii="仿宋_GB2312" w:hAnsi="仿宋_GB2312" w:eastAsia="仿宋_GB2312" w:cs="仿宋_GB2312"/>
                              <w:color w:val="A6A6A6" w:themeColor="background1" w:themeShade="A6"/>
                              <w:sz w:val="32"/>
                              <w:szCs w:val="32"/>
                            </w:rPr>
                            <w:fldChar w:fldCharType="begin"/>
                          </w:r>
                          <w:r>
                            <w:rPr>
                              <w:rFonts w:hint="eastAsia" w:ascii="仿宋_GB2312" w:hAnsi="仿宋_GB2312" w:eastAsia="仿宋_GB2312" w:cs="仿宋_GB2312"/>
                              <w:color w:val="A6A6A6" w:themeColor="background1" w:themeShade="A6"/>
                              <w:sz w:val="32"/>
                              <w:szCs w:val="32"/>
                            </w:rPr>
                            <w:instrText xml:space="preserve"> PAGE  \* MERGEFORMAT </w:instrText>
                          </w:r>
                          <w:r>
                            <w:rPr>
                              <w:rFonts w:hint="eastAsia" w:ascii="仿宋_GB2312" w:hAnsi="仿宋_GB2312" w:eastAsia="仿宋_GB2312" w:cs="仿宋_GB2312"/>
                              <w:color w:val="A6A6A6" w:themeColor="background1" w:themeShade="A6"/>
                              <w:sz w:val="32"/>
                              <w:szCs w:val="32"/>
                            </w:rPr>
                            <w:fldChar w:fldCharType="separate"/>
                          </w:r>
                          <w:r>
                            <w:rPr>
                              <w:rFonts w:hint="eastAsia" w:ascii="仿宋_GB2312" w:hAnsi="仿宋_GB2312" w:eastAsia="仿宋_GB2312" w:cs="仿宋_GB2312"/>
                              <w:color w:val="A6A6A6" w:themeColor="background1" w:themeShade="A6"/>
                              <w:sz w:val="32"/>
                              <w:szCs w:val="32"/>
                            </w:rPr>
                            <w:t>2</w:t>
                          </w:r>
                          <w:r>
                            <w:rPr>
                              <w:rFonts w:hint="eastAsia" w:ascii="仿宋_GB2312" w:hAnsi="仿宋_GB2312" w:eastAsia="仿宋_GB2312" w:cs="仿宋_GB2312"/>
                              <w:color w:val="A6A6A6" w:themeColor="background1" w:themeShade="A6"/>
                              <w:sz w:val="32"/>
                              <w:szCs w:val="32"/>
                            </w:rPr>
                            <w:fldChar w:fldCharType="end"/>
                          </w:r>
                          <w:r>
                            <w:rPr>
                              <w:rFonts w:hint="eastAsia" w:ascii="仿宋_GB2312" w:hAnsi="仿宋_GB2312" w:eastAsia="仿宋_GB2312" w:cs="仿宋_GB2312"/>
                              <w:color w:val="A6A6A6" w:themeColor="background1" w:themeShade="A6"/>
                              <w:sz w:val="32"/>
                              <w:szCs w:val="32"/>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hwhgL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iHCGAt0CAAAmBgAADgAAAAAAAAABACAAAAAfAQAAZHJzL2Uyb0RvYy54bWxQSwUG&#10;AAAAAAYABgBZAQAAbgYAAAAA&#10;">
              <v:fill on="f" focussize="0,0"/>
              <v:stroke on="f" weight="0.5pt"/>
              <v:imagedata o:title=""/>
              <o:lock v:ext="edit" aspectratio="f"/>
              <v:textbox inset="0mm,0mm,0mm,0mm" style="mso-fit-shape-to-text:t;">
                <w:txbxContent>
                  <w:p w14:paraId="012A8A89">
                    <w:pPr>
                      <w:pStyle w:val="13"/>
                      <w:rPr>
                        <w:rFonts w:hint="eastAsia" w:ascii="仿宋_GB2312" w:hAnsi="仿宋_GB2312" w:eastAsia="仿宋_GB2312" w:cs="仿宋_GB2312"/>
                        <w:color w:val="A6A6A6" w:themeColor="background1" w:themeShade="A6"/>
                        <w:sz w:val="32"/>
                        <w:szCs w:val="32"/>
                        <w:lang w:val="en-US" w:eastAsia="zh-CN"/>
                      </w:rPr>
                    </w:pPr>
                    <w:r>
                      <w:rPr>
                        <w:rFonts w:hint="eastAsia" w:ascii="仿宋_GB2312" w:hAnsi="仿宋_GB2312" w:eastAsia="仿宋_GB2312" w:cs="仿宋_GB2312"/>
                        <w:color w:val="A6A6A6" w:themeColor="background1" w:themeShade="A6"/>
                        <w:sz w:val="32"/>
                        <w:szCs w:val="32"/>
                        <w:lang w:val="en-US" w:eastAsia="zh-CN"/>
                      </w:rPr>
                      <w:t>-</w:t>
                    </w:r>
                    <w:r>
                      <w:rPr>
                        <w:rFonts w:hint="eastAsia" w:ascii="仿宋_GB2312" w:hAnsi="仿宋_GB2312" w:eastAsia="仿宋_GB2312" w:cs="仿宋_GB2312"/>
                        <w:color w:val="A6A6A6" w:themeColor="background1" w:themeShade="A6"/>
                        <w:sz w:val="32"/>
                        <w:szCs w:val="32"/>
                      </w:rPr>
                      <w:fldChar w:fldCharType="begin"/>
                    </w:r>
                    <w:r>
                      <w:rPr>
                        <w:rFonts w:hint="eastAsia" w:ascii="仿宋_GB2312" w:hAnsi="仿宋_GB2312" w:eastAsia="仿宋_GB2312" w:cs="仿宋_GB2312"/>
                        <w:color w:val="A6A6A6" w:themeColor="background1" w:themeShade="A6"/>
                        <w:sz w:val="32"/>
                        <w:szCs w:val="32"/>
                      </w:rPr>
                      <w:instrText xml:space="preserve"> PAGE  \* MERGEFORMAT </w:instrText>
                    </w:r>
                    <w:r>
                      <w:rPr>
                        <w:rFonts w:hint="eastAsia" w:ascii="仿宋_GB2312" w:hAnsi="仿宋_GB2312" w:eastAsia="仿宋_GB2312" w:cs="仿宋_GB2312"/>
                        <w:color w:val="A6A6A6" w:themeColor="background1" w:themeShade="A6"/>
                        <w:sz w:val="32"/>
                        <w:szCs w:val="32"/>
                      </w:rPr>
                      <w:fldChar w:fldCharType="separate"/>
                    </w:r>
                    <w:r>
                      <w:rPr>
                        <w:rFonts w:hint="eastAsia" w:ascii="仿宋_GB2312" w:hAnsi="仿宋_GB2312" w:eastAsia="仿宋_GB2312" w:cs="仿宋_GB2312"/>
                        <w:color w:val="A6A6A6" w:themeColor="background1" w:themeShade="A6"/>
                        <w:sz w:val="32"/>
                        <w:szCs w:val="32"/>
                      </w:rPr>
                      <w:t>2</w:t>
                    </w:r>
                    <w:r>
                      <w:rPr>
                        <w:rFonts w:hint="eastAsia" w:ascii="仿宋_GB2312" w:hAnsi="仿宋_GB2312" w:eastAsia="仿宋_GB2312" w:cs="仿宋_GB2312"/>
                        <w:color w:val="A6A6A6" w:themeColor="background1" w:themeShade="A6"/>
                        <w:sz w:val="32"/>
                        <w:szCs w:val="32"/>
                      </w:rPr>
                      <w:fldChar w:fldCharType="end"/>
                    </w:r>
                    <w:r>
                      <w:rPr>
                        <w:rFonts w:hint="eastAsia" w:ascii="仿宋_GB2312" w:hAnsi="仿宋_GB2312" w:eastAsia="仿宋_GB2312" w:cs="仿宋_GB2312"/>
                        <w:color w:val="A6A6A6" w:themeColor="background1" w:themeShade="A6"/>
                        <w:sz w:val="32"/>
                        <w:szCs w:val="32"/>
                        <w:lang w:val="en-US"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4E6EF">
    <w:pPr>
      <w:pStyle w:val="13"/>
      <w:jc w:val="center"/>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746946C">
                          <w:pPr>
                            <w:pStyle w:val="13"/>
                            <w:rPr>
                              <w:rFonts w:hint="eastAsia" w:ascii="仿宋_GB2312" w:hAnsi="仿宋_GB2312" w:eastAsia="仿宋_GB2312" w:cs="仿宋_GB2312"/>
                              <w:color w:val="A6A6A6" w:themeColor="background1" w:themeShade="A6"/>
                              <w:sz w:val="32"/>
                              <w:szCs w:val="32"/>
                              <w:lang w:val="en-US" w:eastAsia="zh-CN"/>
                            </w:rPr>
                          </w:pPr>
                          <w:r>
                            <w:rPr>
                              <w:rFonts w:hint="eastAsia" w:ascii="仿宋_GB2312" w:hAnsi="仿宋_GB2312" w:eastAsia="仿宋_GB2312" w:cs="仿宋_GB2312"/>
                              <w:color w:val="A6A6A6" w:themeColor="background1" w:themeShade="A6"/>
                              <w:sz w:val="32"/>
                              <w:szCs w:val="32"/>
                              <w:lang w:val="en-US" w:eastAsia="zh-CN"/>
                            </w:rPr>
                            <w:t>-</w:t>
                          </w:r>
                          <w:r>
                            <w:rPr>
                              <w:rFonts w:hint="eastAsia" w:ascii="仿宋_GB2312" w:hAnsi="仿宋_GB2312" w:eastAsia="仿宋_GB2312" w:cs="仿宋_GB2312"/>
                              <w:color w:val="A6A6A6" w:themeColor="background1" w:themeShade="A6"/>
                              <w:sz w:val="32"/>
                              <w:szCs w:val="32"/>
                            </w:rPr>
                            <w:fldChar w:fldCharType="begin"/>
                          </w:r>
                          <w:r>
                            <w:rPr>
                              <w:rFonts w:hint="eastAsia" w:ascii="仿宋_GB2312" w:hAnsi="仿宋_GB2312" w:eastAsia="仿宋_GB2312" w:cs="仿宋_GB2312"/>
                              <w:color w:val="A6A6A6" w:themeColor="background1" w:themeShade="A6"/>
                              <w:sz w:val="32"/>
                              <w:szCs w:val="32"/>
                            </w:rPr>
                            <w:instrText xml:space="preserve"> PAGE  \* MERGEFORMAT </w:instrText>
                          </w:r>
                          <w:r>
                            <w:rPr>
                              <w:rFonts w:hint="eastAsia" w:ascii="仿宋_GB2312" w:hAnsi="仿宋_GB2312" w:eastAsia="仿宋_GB2312" w:cs="仿宋_GB2312"/>
                              <w:color w:val="A6A6A6" w:themeColor="background1" w:themeShade="A6"/>
                              <w:sz w:val="32"/>
                              <w:szCs w:val="32"/>
                            </w:rPr>
                            <w:fldChar w:fldCharType="separate"/>
                          </w:r>
                          <w:r>
                            <w:rPr>
                              <w:rFonts w:hint="eastAsia" w:ascii="仿宋_GB2312" w:hAnsi="仿宋_GB2312" w:eastAsia="仿宋_GB2312" w:cs="仿宋_GB2312"/>
                              <w:color w:val="A6A6A6" w:themeColor="background1" w:themeShade="A6"/>
                              <w:sz w:val="32"/>
                              <w:szCs w:val="32"/>
                            </w:rPr>
                            <w:t>19</w:t>
                          </w:r>
                          <w:r>
                            <w:rPr>
                              <w:rFonts w:hint="eastAsia" w:ascii="仿宋_GB2312" w:hAnsi="仿宋_GB2312" w:eastAsia="仿宋_GB2312" w:cs="仿宋_GB2312"/>
                              <w:color w:val="A6A6A6" w:themeColor="background1" w:themeShade="A6"/>
                              <w:sz w:val="32"/>
                              <w:szCs w:val="32"/>
                            </w:rPr>
                            <w:fldChar w:fldCharType="end"/>
                          </w:r>
                          <w:r>
                            <w:rPr>
                              <w:rFonts w:hint="eastAsia" w:ascii="仿宋_GB2312" w:hAnsi="仿宋_GB2312" w:eastAsia="仿宋_GB2312" w:cs="仿宋_GB2312"/>
                              <w:color w:val="A6A6A6" w:themeColor="background1" w:themeShade="A6"/>
                              <w:sz w:val="32"/>
                              <w:szCs w:val="32"/>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5PuKjd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3k+4qN0CAAAmBgAADgAAAAAAAAABACAAAAAfAQAAZHJzL2Uyb0RvYy54bWxQSwUG&#10;AAAAAAYABgBZAQAAbgYAAAAA&#10;">
              <v:fill on="f" focussize="0,0"/>
              <v:stroke on="f" weight="0.5pt"/>
              <v:imagedata o:title=""/>
              <o:lock v:ext="edit" aspectratio="f"/>
              <v:textbox inset="0mm,0mm,0mm,0mm" style="mso-fit-shape-to-text:t;">
                <w:txbxContent>
                  <w:p w14:paraId="2746946C">
                    <w:pPr>
                      <w:pStyle w:val="13"/>
                      <w:rPr>
                        <w:rFonts w:hint="eastAsia" w:ascii="仿宋_GB2312" w:hAnsi="仿宋_GB2312" w:eastAsia="仿宋_GB2312" w:cs="仿宋_GB2312"/>
                        <w:color w:val="A6A6A6" w:themeColor="background1" w:themeShade="A6"/>
                        <w:sz w:val="32"/>
                        <w:szCs w:val="32"/>
                        <w:lang w:val="en-US" w:eastAsia="zh-CN"/>
                      </w:rPr>
                    </w:pPr>
                    <w:r>
                      <w:rPr>
                        <w:rFonts w:hint="eastAsia" w:ascii="仿宋_GB2312" w:hAnsi="仿宋_GB2312" w:eastAsia="仿宋_GB2312" w:cs="仿宋_GB2312"/>
                        <w:color w:val="A6A6A6" w:themeColor="background1" w:themeShade="A6"/>
                        <w:sz w:val="32"/>
                        <w:szCs w:val="32"/>
                        <w:lang w:val="en-US" w:eastAsia="zh-CN"/>
                      </w:rPr>
                      <w:t>-</w:t>
                    </w:r>
                    <w:r>
                      <w:rPr>
                        <w:rFonts w:hint="eastAsia" w:ascii="仿宋_GB2312" w:hAnsi="仿宋_GB2312" w:eastAsia="仿宋_GB2312" w:cs="仿宋_GB2312"/>
                        <w:color w:val="A6A6A6" w:themeColor="background1" w:themeShade="A6"/>
                        <w:sz w:val="32"/>
                        <w:szCs w:val="32"/>
                      </w:rPr>
                      <w:fldChar w:fldCharType="begin"/>
                    </w:r>
                    <w:r>
                      <w:rPr>
                        <w:rFonts w:hint="eastAsia" w:ascii="仿宋_GB2312" w:hAnsi="仿宋_GB2312" w:eastAsia="仿宋_GB2312" w:cs="仿宋_GB2312"/>
                        <w:color w:val="A6A6A6" w:themeColor="background1" w:themeShade="A6"/>
                        <w:sz w:val="32"/>
                        <w:szCs w:val="32"/>
                      </w:rPr>
                      <w:instrText xml:space="preserve"> PAGE  \* MERGEFORMAT </w:instrText>
                    </w:r>
                    <w:r>
                      <w:rPr>
                        <w:rFonts w:hint="eastAsia" w:ascii="仿宋_GB2312" w:hAnsi="仿宋_GB2312" w:eastAsia="仿宋_GB2312" w:cs="仿宋_GB2312"/>
                        <w:color w:val="A6A6A6" w:themeColor="background1" w:themeShade="A6"/>
                        <w:sz w:val="32"/>
                        <w:szCs w:val="32"/>
                      </w:rPr>
                      <w:fldChar w:fldCharType="separate"/>
                    </w:r>
                    <w:r>
                      <w:rPr>
                        <w:rFonts w:hint="eastAsia" w:ascii="仿宋_GB2312" w:hAnsi="仿宋_GB2312" w:eastAsia="仿宋_GB2312" w:cs="仿宋_GB2312"/>
                        <w:color w:val="A6A6A6" w:themeColor="background1" w:themeShade="A6"/>
                        <w:sz w:val="32"/>
                        <w:szCs w:val="32"/>
                      </w:rPr>
                      <w:t>19</w:t>
                    </w:r>
                    <w:r>
                      <w:rPr>
                        <w:rFonts w:hint="eastAsia" w:ascii="仿宋_GB2312" w:hAnsi="仿宋_GB2312" w:eastAsia="仿宋_GB2312" w:cs="仿宋_GB2312"/>
                        <w:color w:val="A6A6A6" w:themeColor="background1" w:themeShade="A6"/>
                        <w:sz w:val="32"/>
                        <w:szCs w:val="32"/>
                      </w:rPr>
                      <w:fldChar w:fldCharType="end"/>
                    </w:r>
                    <w:r>
                      <w:rPr>
                        <w:rFonts w:hint="eastAsia" w:ascii="仿宋_GB2312" w:hAnsi="仿宋_GB2312" w:eastAsia="仿宋_GB2312" w:cs="仿宋_GB2312"/>
                        <w:color w:val="A6A6A6" w:themeColor="background1" w:themeShade="A6"/>
                        <w:sz w:val="32"/>
                        <w:szCs w:val="32"/>
                        <w:lang w:val="en-US"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63572">
    <w:pPr>
      <w:pStyle w:val="13"/>
      <w:jc w:val="center"/>
      <w:rPr>
        <w:rFonts w:ascii="宋体"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10AB7D1">
                          <w:pPr>
                            <w:pStyle w:val="1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Ii43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hhhJ0kDF&#10;7799vf/+8/7HFwR7INBW2zHELTREut2V2kFwv29h0/PeVabx/8AIgR/kvTvIy3YOUX8oHaRpBC4K&#10;vn4B+OHxuDbWvWKqQd7IsIH6tbKSzdy6LrQP8bdJVXAh2hoKibYZHp6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ZQiLjd0CAAAmBgAADgAAAAAAAAABACAAAAAfAQAAZHJzL2Uyb0RvYy54bWxQSwUG&#10;AAAAAAYABgBZAQAAbgYAAAAA&#10;">
              <v:fill on="f" focussize="0,0"/>
              <v:stroke on="f" weight="0.5pt"/>
              <v:imagedata o:title=""/>
              <o:lock v:ext="edit" aspectratio="f"/>
              <v:textbox inset="0mm,0mm,0mm,0mm" style="mso-fit-shape-to-text:t;">
                <w:txbxContent>
                  <w:p w14:paraId="410AB7D1">
                    <w:pPr>
                      <w:pStyle w:val="1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260D8"/>
    <w:rsid w:val="00001C89"/>
    <w:rsid w:val="00004947"/>
    <w:rsid w:val="0001005E"/>
    <w:rsid w:val="00012C07"/>
    <w:rsid w:val="00015848"/>
    <w:rsid w:val="000210CF"/>
    <w:rsid w:val="00021C1D"/>
    <w:rsid w:val="000245CF"/>
    <w:rsid w:val="00024BB5"/>
    <w:rsid w:val="000312F2"/>
    <w:rsid w:val="00034F26"/>
    <w:rsid w:val="000355B1"/>
    <w:rsid w:val="000364BF"/>
    <w:rsid w:val="000402FE"/>
    <w:rsid w:val="00040A58"/>
    <w:rsid w:val="00040DEC"/>
    <w:rsid w:val="00041581"/>
    <w:rsid w:val="00042321"/>
    <w:rsid w:val="000457AB"/>
    <w:rsid w:val="00046DC9"/>
    <w:rsid w:val="00050150"/>
    <w:rsid w:val="00050465"/>
    <w:rsid w:val="000515FA"/>
    <w:rsid w:val="00055E8A"/>
    <w:rsid w:val="00056BC0"/>
    <w:rsid w:val="00060509"/>
    <w:rsid w:val="00064136"/>
    <w:rsid w:val="00064773"/>
    <w:rsid w:val="0006526C"/>
    <w:rsid w:val="00067CCD"/>
    <w:rsid w:val="00072BA3"/>
    <w:rsid w:val="00073A1C"/>
    <w:rsid w:val="0008000D"/>
    <w:rsid w:val="00080E92"/>
    <w:rsid w:val="000810ED"/>
    <w:rsid w:val="00082C8B"/>
    <w:rsid w:val="00085011"/>
    <w:rsid w:val="00085410"/>
    <w:rsid w:val="0008591C"/>
    <w:rsid w:val="000875E9"/>
    <w:rsid w:val="000909DE"/>
    <w:rsid w:val="00092698"/>
    <w:rsid w:val="00092CB3"/>
    <w:rsid w:val="000A0A44"/>
    <w:rsid w:val="000A183F"/>
    <w:rsid w:val="000A27CB"/>
    <w:rsid w:val="000A2E5F"/>
    <w:rsid w:val="000A2EFA"/>
    <w:rsid w:val="000A3AD8"/>
    <w:rsid w:val="000A3BDC"/>
    <w:rsid w:val="000B0B88"/>
    <w:rsid w:val="000B14F2"/>
    <w:rsid w:val="000B6A85"/>
    <w:rsid w:val="000B7EB3"/>
    <w:rsid w:val="000C2FFA"/>
    <w:rsid w:val="000C4ADE"/>
    <w:rsid w:val="000C7293"/>
    <w:rsid w:val="000D21A8"/>
    <w:rsid w:val="000D2378"/>
    <w:rsid w:val="000D2A0C"/>
    <w:rsid w:val="000D2FB5"/>
    <w:rsid w:val="000D6A60"/>
    <w:rsid w:val="000D7E18"/>
    <w:rsid w:val="000E4530"/>
    <w:rsid w:val="000E5A2A"/>
    <w:rsid w:val="000E6E72"/>
    <w:rsid w:val="000E7350"/>
    <w:rsid w:val="000F0584"/>
    <w:rsid w:val="000F2A7A"/>
    <w:rsid w:val="000F2AC2"/>
    <w:rsid w:val="000F2D2B"/>
    <w:rsid w:val="000F3601"/>
    <w:rsid w:val="000F52C8"/>
    <w:rsid w:val="000F5A87"/>
    <w:rsid w:val="00107ABD"/>
    <w:rsid w:val="00107F4B"/>
    <w:rsid w:val="00113A3C"/>
    <w:rsid w:val="00114242"/>
    <w:rsid w:val="00116557"/>
    <w:rsid w:val="00117EB6"/>
    <w:rsid w:val="0012386B"/>
    <w:rsid w:val="00123952"/>
    <w:rsid w:val="00124B67"/>
    <w:rsid w:val="0012683D"/>
    <w:rsid w:val="00127A90"/>
    <w:rsid w:val="00130169"/>
    <w:rsid w:val="0013161E"/>
    <w:rsid w:val="00133845"/>
    <w:rsid w:val="00136579"/>
    <w:rsid w:val="00141C13"/>
    <w:rsid w:val="00142AB7"/>
    <w:rsid w:val="001461AF"/>
    <w:rsid w:val="001502C8"/>
    <w:rsid w:val="00150CAC"/>
    <w:rsid w:val="001511AF"/>
    <w:rsid w:val="00152517"/>
    <w:rsid w:val="001532FD"/>
    <w:rsid w:val="00153EFC"/>
    <w:rsid w:val="00156006"/>
    <w:rsid w:val="00156140"/>
    <w:rsid w:val="00164850"/>
    <w:rsid w:val="0016515A"/>
    <w:rsid w:val="00166658"/>
    <w:rsid w:val="00167B10"/>
    <w:rsid w:val="0017004A"/>
    <w:rsid w:val="00172422"/>
    <w:rsid w:val="00172880"/>
    <w:rsid w:val="001735EE"/>
    <w:rsid w:val="00173891"/>
    <w:rsid w:val="00173F12"/>
    <w:rsid w:val="00175D7B"/>
    <w:rsid w:val="0017775E"/>
    <w:rsid w:val="00177A5E"/>
    <w:rsid w:val="00177C29"/>
    <w:rsid w:val="00180B0D"/>
    <w:rsid w:val="00180B6B"/>
    <w:rsid w:val="00180C5D"/>
    <w:rsid w:val="00181D9F"/>
    <w:rsid w:val="0018339C"/>
    <w:rsid w:val="001836DB"/>
    <w:rsid w:val="00183B25"/>
    <w:rsid w:val="00184487"/>
    <w:rsid w:val="00186574"/>
    <w:rsid w:val="00187B1F"/>
    <w:rsid w:val="00190E58"/>
    <w:rsid w:val="00192B6C"/>
    <w:rsid w:val="001A221B"/>
    <w:rsid w:val="001A4AAE"/>
    <w:rsid w:val="001A541F"/>
    <w:rsid w:val="001A5C40"/>
    <w:rsid w:val="001A723D"/>
    <w:rsid w:val="001B00DD"/>
    <w:rsid w:val="001B0578"/>
    <w:rsid w:val="001B092E"/>
    <w:rsid w:val="001B4637"/>
    <w:rsid w:val="001B6AE8"/>
    <w:rsid w:val="001B71B9"/>
    <w:rsid w:val="001C12F6"/>
    <w:rsid w:val="001C1AFA"/>
    <w:rsid w:val="001C1C19"/>
    <w:rsid w:val="001C36A5"/>
    <w:rsid w:val="001D0783"/>
    <w:rsid w:val="001D0E03"/>
    <w:rsid w:val="001D4A48"/>
    <w:rsid w:val="001E1B58"/>
    <w:rsid w:val="001E2538"/>
    <w:rsid w:val="001E4724"/>
    <w:rsid w:val="001E4ABB"/>
    <w:rsid w:val="001E58E6"/>
    <w:rsid w:val="001E5DA6"/>
    <w:rsid w:val="001F1361"/>
    <w:rsid w:val="001F201A"/>
    <w:rsid w:val="001F5EF9"/>
    <w:rsid w:val="00200A76"/>
    <w:rsid w:val="00201548"/>
    <w:rsid w:val="00202084"/>
    <w:rsid w:val="00202A73"/>
    <w:rsid w:val="00204ABF"/>
    <w:rsid w:val="00206EF5"/>
    <w:rsid w:val="00210AE3"/>
    <w:rsid w:val="00220EEB"/>
    <w:rsid w:val="0022404C"/>
    <w:rsid w:val="002263EB"/>
    <w:rsid w:val="00227089"/>
    <w:rsid w:val="00232A9E"/>
    <w:rsid w:val="00232AC1"/>
    <w:rsid w:val="0023375B"/>
    <w:rsid w:val="0023713C"/>
    <w:rsid w:val="00237D2A"/>
    <w:rsid w:val="00244246"/>
    <w:rsid w:val="002453B8"/>
    <w:rsid w:val="00245928"/>
    <w:rsid w:val="00250E76"/>
    <w:rsid w:val="002517CD"/>
    <w:rsid w:val="00255409"/>
    <w:rsid w:val="00255ABE"/>
    <w:rsid w:val="00255AC6"/>
    <w:rsid w:val="00257524"/>
    <w:rsid w:val="00257994"/>
    <w:rsid w:val="002631DE"/>
    <w:rsid w:val="00264FFE"/>
    <w:rsid w:val="00265CA8"/>
    <w:rsid w:val="002675AB"/>
    <w:rsid w:val="00267A84"/>
    <w:rsid w:val="00267B9D"/>
    <w:rsid w:val="00270B20"/>
    <w:rsid w:val="00271600"/>
    <w:rsid w:val="002726A2"/>
    <w:rsid w:val="00276216"/>
    <w:rsid w:val="0027739E"/>
    <w:rsid w:val="00280BED"/>
    <w:rsid w:val="002811C9"/>
    <w:rsid w:val="00283C86"/>
    <w:rsid w:val="0028477E"/>
    <w:rsid w:val="00286D81"/>
    <w:rsid w:val="00287069"/>
    <w:rsid w:val="002920C6"/>
    <w:rsid w:val="0029521A"/>
    <w:rsid w:val="002A48A1"/>
    <w:rsid w:val="002A65AF"/>
    <w:rsid w:val="002B18F3"/>
    <w:rsid w:val="002B3D0D"/>
    <w:rsid w:val="002B5089"/>
    <w:rsid w:val="002B5AFE"/>
    <w:rsid w:val="002B646A"/>
    <w:rsid w:val="002B6C6C"/>
    <w:rsid w:val="002C3108"/>
    <w:rsid w:val="002C5526"/>
    <w:rsid w:val="002C661D"/>
    <w:rsid w:val="002D3529"/>
    <w:rsid w:val="002D36A7"/>
    <w:rsid w:val="002D3FE1"/>
    <w:rsid w:val="002D500B"/>
    <w:rsid w:val="002D70A7"/>
    <w:rsid w:val="002E08E0"/>
    <w:rsid w:val="002E11E8"/>
    <w:rsid w:val="002E326F"/>
    <w:rsid w:val="002E4FFC"/>
    <w:rsid w:val="002E51C4"/>
    <w:rsid w:val="002E6180"/>
    <w:rsid w:val="002E6280"/>
    <w:rsid w:val="002E6361"/>
    <w:rsid w:val="002E7F54"/>
    <w:rsid w:val="002F0F52"/>
    <w:rsid w:val="002F1407"/>
    <w:rsid w:val="00301CD0"/>
    <w:rsid w:val="00305821"/>
    <w:rsid w:val="0031009C"/>
    <w:rsid w:val="00313E41"/>
    <w:rsid w:val="003141E0"/>
    <w:rsid w:val="003141E5"/>
    <w:rsid w:val="0032072B"/>
    <w:rsid w:val="00320B99"/>
    <w:rsid w:val="003210BA"/>
    <w:rsid w:val="0032323C"/>
    <w:rsid w:val="00323B5A"/>
    <w:rsid w:val="003266E0"/>
    <w:rsid w:val="00326C86"/>
    <w:rsid w:val="00326ED1"/>
    <w:rsid w:val="0033256B"/>
    <w:rsid w:val="00332A57"/>
    <w:rsid w:val="0034091B"/>
    <w:rsid w:val="00340A25"/>
    <w:rsid w:val="003428DE"/>
    <w:rsid w:val="003455DA"/>
    <w:rsid w:val="00347F0F"/>
    <w:rsid w:val="0035038D"/>
    <w:rsid w:val="00352ED0"/>
    <w:rsid w:val="00356A43"/>
    <w:rsid w:val="00361564"/>
    <w:rsid w:val="003617D3"/>
    <w:rsid w:val="003631CD"/>
    <w:rsid w:val="003646E6"/>
    <w:rsid w:val="0037039F"/>
    <w:rsid w:val="00371ED5"/>
    <w:rsid w:val="00373AEF"/>
    <w:rsid w:val="00374196"/>
    <w:rsid w:val="00375F4F"/>
    <w:rsid w:val="003774E2"/>
    <w:rsid w:val="003774F1"/>
    <w:rsid w:val="00380C8F"/>
    <w:rsid w:val="003833E5"/>
    <w:rsid w:val="00383C0C"/>
    <w:rsid w:val="0038414F"/>
    <w:rsid w:val="00386F43"/>
    <w:rsid w:val="0039273A"/>
    <w:rsid w:val="00392DD6"/>
    <w:rsid w:val="00393BB3"/>
    <w:rsid w:val="003A0615"/>
    <w:rsid w:val="003A0D40"/>
    <w:rsid w:val="003A3492"/>
    <w:rsid w:val="003A6187"/>
    <w:rsid w:val="003A7C29"/>
    <w:rsid w:val="003B1BA3"/>
    <w:rsid w:val="003B24D1"/>
    <w:rsid w:val="003B32A9"/>
    <w:rsid w:val="003B38C7"/>
    <w:rsid w:val="003C014F"/>
    <w:rsid w:val="003C1C26"/>
    <w:rsid w:val="003C2272"/>
    <w:rsid w:val="003C366B"/>
    <w:rsid w:val="003C6469"/>
    <w:rsid w:val="003D007D"/>
    <w:rsid w:val="003D5B2E"/>
    <w:rsid w:val="003D5C72"/>
    <w:rsid w:val="003D603B"/>
    <w:rsid w:val="003D7A3D"/>
    <w:rsid w:val="003E0600"/>
    <w:rsid w:val="003E2194"/>
    <w:rsid w:val="003E24C7"/>
    <w:rsid w:val="003E4434"/>
    <w:rsid w:val="003F16FF"/>
    <w:rsid w:val="003F17C3"/>
    <w:rsid w:val="003F39B9"/>
    <w:rsid w:val="003F420C"/>
    <w:rsid w:val="003F485C"/>
    <w:rsid w:val="003F4B24"/>
    <w:rsid w:val="003F6366"/>
    <w:rsid w:val="003F7B32"/>
    <w:rsid w:val="00400F10"/>
    <w:rsid w:val="004019BD"/>
    <w:rsid w:val="00403331"/>
    <w:rsid w:val="00403477"/>
    <w:rsid w:val="0040664D"/>
    <w:rsid w:val="00407102"/>
    <w:rsid w:val="00413CCE"/>
    <w:rsid w:val="00416FB5"/>
    <w:rsid w:val="004200D3"/>
    <w:rsid w:val="00421BA7"/>
    <w:rsid w:val="00422985"/>
    <w:rsid w:val="00424E40"/>
    <w:rsid w:val="00424EA9"/>
    <w:rsid w:val="004253E6"/>
    <w:rsid w:val="00425743"/>
    <w:rsid w:val="00426C77"/>
    <w:rsid w:val="00427545"/>
    <w:rsid w:val="004275C3"/>
    <w:rsid w:val="00431D0C"/>
    <w:rsid w:val="00434A50"/>
    <w:rsid w:val="0043603C"/>
    <w:rsid w:val="0043736B"/>
    <w:rsid w:val="00441F61"/>
    <w:rsid w:val="00445730"/>
    <w:rsid w:val="00450345"/>
    <w:rsid w:val="00452401"/>
    <w:rsid w:val="00452648"/>
    <w:rsid w:val="00452B91"/>
    <w:rsid w:val="00454955"/>
    <w:rsid w:val="00454B82"/>
    <w:rsid w:val="00456334"/>
    <w:rsid w:val="00460DB7"/>
    <w:rsid w:val="0046179A"/>
    <w:rsid w:val="00462DA9"/>
    <w:rsid w:val="004720A5"/>
    <w:rsid w:val="00472C69"/>
    <w:rsid w:val="00473DC9"/>
    <w:rsid w:val="004740CC"/>
    <w:rsid w:val="0047474E"/>
    <w:rsid w:val="004762E0"/>
    <w:rsid w:val="00480D0F"/>
    <w:rsid w:val="00485102"/>
    <w:rsid w:val="00485712"/>
    <w:rsid w:val="00485E53"/>
    <w:rsid w:val="004866AC"/>
    <w:rsid w:val="00486BE9"/>
    <w:rsid w:val="00487A20"/>
    <w:rsid w:val="00491480"/>
    <w:rsid w:val="00492104"/>
    <w:rsid w:val="004934AB"/>
    <w:rsid w:val="00494E4F"/>
    <w:rsid w:val="004971C4"/>
    <w:rsid w:val="004A0C33"/>
    <w:rsid w:val="004A2767"/>
    <w:rsid w:val="004A60D2"/>
    <w:rsid w:val="004A7314"/>
    <w:rsid w:val="004A7F71"/>
    <w:rsid w:val="004B1C37"/>
    <w:rsid w:val="004B1FFB"/>
    <w:rsid w:val="004B3194"/>
    <w:rsid w:val="004B41A0"/>
    <w:rsid w:val="004B44F0"/>
    <w:rsid w:val="004B54E7"/>
    <w:rsid w:val="004B6EEA"/>
    <w:rsid w:val="004C21F1"/>
    <w:rsid w:val="004D2873"/>
    <w:rsid w:val="004D327D"/>
    <w:rsid w:val="004D37DB"/>
    <w:rsid w:val="004D3D6F"/>
    <w:rsid w:val="004D7C54"/>
    <w:rsid w:val="004E02FC"/>
    <w:rsid w:val="004E1147"/>
    <w:rsid w:val="004E2152"/>
    <w:rsid w:val="004E2800"/>
    <w:rsid w:val="004E2B30"/>
    <w:rsid w:val="004E307F"/>
    <w:rsid w:val="004E3621"/>
    <w:rsid w:val="004E59E9"/>
    <w:rsid w:val="004F07A3"/>
    <w:rsid w:val="004F07DC"/>
    <w:rsid w:val="004F0B06"/>
    <w:rsid w:val="004F0BA7"/>
    <w:rsid w:val="004F23C9"/>
    <w:rsid w:val="004F24BC"/>
    <w:rsid w:val="004F27E9"/>
    <w:rsid w:val="0050072A"/>
    <w:rsid w:val="00501370"/>
    <w:rsid w:val="0050162B"/>
    <w:rsid w:val="00501BC3"/>
    <w:rsid w:val="00501FA2"/>
    <w:rsid w:val="005040F8"/>
    <w:rsid w:val="005071EB"/>
    <w:rsid w:val="0051027A"/>
    <w:rsid w:val="00514699"/>
    <w:rsid w:val="00515BD3"/>
    <w:rsid w:val="00520BD5"/>
    <w:rsid w:val="00521083"/>
    <w:rsid w:val="00521FCF"/>
    <w:rsid w:val="00531DC5"/>
    <w:rsid w:val="00535A59"/>
    <w:rsid w:val="00536B86"/>
    <w:rsid w:val="00540744"/>
    <w:rsid w:val="00544E9D"/>
    <w:rsid w:val="00545BF2"/>
    <w:rsid w:val="00547617"/>
    <w:rsid w:val="00547A87"/>
    <w:rsid w:val="00553CC7"/>
    <w:rsid w:val="00561596"/>
    <w:rsid w:val="00565C0A"/>
    <w:rsid w:val="00567D49"/>
    <w:rsid w:val="00570EB6"/>
    <w:rsid w:val="00570FCE"/>
    <w:rsid w:val="005716C5"/>
    <w:rsid w:val="00572697"/>
    <w:rsid w:val="00572B2F"/>
    <w:rsid w:val="0057395D"/>
    <w:rsid w:val="005748E3"/>
    <w:rsid w:val="00576074"/>
    <w:rsid w:val="00577A41"/>
    <w:rsid w:val="005816DD"/>
    <w:rsid w:val="00581704"/>
    <w:rsid w:val="00584BEE"/>
    <w:rsid w:val="00590A02"/>
    <w:rsid w:val="00591707"/>
    <w:rsid w:val="005930CC"/>
    <w:rsid w:val="00593E56"/>
    <w:rsid w:val="0059447A"/>
    <w:rsid w:val="0059512F"/>
    <w:rsid w:val="0059529A"/>
    <w:rsid w:val="0059697B"/>
    <w:rsid w:val="005A1AF7"/>
    <w:rsid w:val="005B0E5F"/>
    <w:rsid w:val="005B2AB7"/>
    <w:rsid w:val="005B504B"/>
    <w:rsid w:val="005C0824"/>
    <w:rsid w:val="005C083D"/>
    <w:rsid w:val="005C0F05"/>
    <w:rsid w:val="005C118C"/>
    <w:rsid w:val="005C273E"/>
    <w:rsid w:val="005C2E34"/>
    <w:rsid w:val="005C3672"/>
    <w:rsid w:val="005C4430"/>
    <w:rsid w:val="005C4464"/>
    <w:rsid w:val="005D06A5"/>
    <w:rsid w:val="005D0998"/>
    <w:rsid w:val="005D1D50"/>
    <w:rsid w:val="005D354E"/>
    <w:rsid w:val="005D7B42"/>
    <w:rsid w:val="005E04A2"/>
    <w:rsid w:val="005E06D2"/>
    <w:rsid w:val="005E1C1E"/>
    <w:rsid w:val="005E3544"/>
    <w:rsid w:val="005E4B50"/>
    <w:rsid w:val="005E5E8A"/>
    <w:rsid w:val="005E694C"/>
    <w:rsid w:val="005E739A"/>
    <w:rsid w:val="005F0A9E"/>
    <w:rsid w:val="005F56F9"/>
    <w:rsid w:val="0060120F"/>
    <w:rsid w:val="00603437"/>
    <w:rsid w:val="00605A60"/>
    <w:rsid w:val="006064CE"/>
    <w:rsid w:val="00610350"/>
    <w:rsid w:val="00610BA1"/>
    <w:rsid w:val="00616776"/>
    <w:rsid w:val="00620755"/>
    <w:rsid w:val="00620CF5"/>
    <w:rsid w:val="00623394"/>
    <w:rsid w:val="00623E8A"/>
    <w:rsid w:val="006248C4"/>
    <w:rsid w:val="00627195"/>
    <w:rsid w:val="006276EA"/>
    <w:rsid w:val="0063065B"/>
    <w:rsid w:val="00630B66"/>
    <w:rsid w:val="00631A65"/>
    <w:rsid w:val="006322DF"/>
    <w:rsid w:val="006325F5"/>
    <w:rsid w:val="00635EF2"/>
    <w:rsid w:val="00640E2F"/>
    <w:rsid w:val="0064193B"/>
    <w:rsid w:val="00642960"/>
    <w:rsid w:val="00644C5A"/>
    <w:rsid w:val="00645E53"/>
    <w:rsid w:val="0064615F"/>
    <w:rsid w:val="00646DCA"/>
    <w:rsid w:val="006474E5"/>
    <w:rsid w:val="00647AE0"/>
    <w:rsid w:val="00651D2E"/>
    <w:rsid w:val="00652DF2"/>
    <w:rsid w:val="006533DE"/>
    <w:rsid w:val="0065563E"/>
    <w:rsid w:val="00660285"/>
    <w:rsid w:val="00661D03"/>
    <w:rsid w:val="006621B7"/>
    <w:rsid w:val="006626C3"/>
    <w:rsid w:val="006644DE"/>
    <w:rsid w:val="00667B4C"/>
    <w:rsid w:val="00672580"/>
    <w:rsid w:val="0067290A"/>
    <w:rsid w:val="00674907"/>
    <w:rsid w:val="00675759"/>
    <w:rsid w:val="00681DA4"/>
    <w:rsid w:val="0068560F"/>
    <w:rsid w:val="00685BC6"/>
    <w:rsid w:val="00687C4B"/>
    <w:rsid w:val="00693419"/>
    <w:rsid w:val="00693A98"/>
    <w:rsid w:val="006A0FD1"/>
    <w:rsid w:val="006A214E"/>
    <w:rsid w:val="006A24BE"/>
    <w:rsid w:val="006A4129"/>
    <w:rsid w:val="006A69BF"/>
    <w:rsid w:val="006A6B8F"/>
    <w:rsid w:val="006A7D20"/>
    <w:rsid w:val="006B1213"/>
    <w:rsid w:val="006B1B87"/>
    <w:rsid w:val="006B3E72"/>
    <w:rsid w:val="006B3FEC"/>
    <w:rsid w:val="006B4E87"/>
    <w:rsid w:val="006B6320"/>
    <w:rsid w:val="006B764C"/>
    <w:rsid w:val="006C2F01"/>
    <w:rsid w:val="006C50EB"/>
    <w:rsid w:val="006C5D4C"/>
    <w:rsid w:val="006C5F01"/>
    <w:rsid w:val="006D2B28"/>
    <w:rsid w:val="006D5DF8"/>
    <w:rsid w:val="006E0A38"/>
    <w:rsid w:val="006E0C3A"/>
    <w:rsid w:val="006E0EC0"/>
    <w:rsid w:val="006E4AD0"/>
    <w:rsid w:val="006E7ABB"/>
    <w:rsid w:val="006F004E"/>
    <w:rsid w:val="007006A1"/>
    <w:rsid w:val="00700E3A"/>
    <w:rsid w:val="0070289C"/>
    <w:rsid w:val="0070340C"/>
    <w:rsid w:val="007034D1"/>
    <w:rsid w:val="0070664D"/>
    <w:rsid w:val="007118D5"/>
    <w:rsid w:val="007154F7"/>
    <w:rsid w:val="007159FD"/>
    <w:rsid w:val="007176DA"/>
    <w:rsid w:val="00720F87"/>
    <w:rsid w:val="00723600"/>
    <w:rsid w:val="00723FC4"/>
    <w:rsid w:val="00730379"/>
    <w:rsid w:val="00730542"/>
    <w:rsid w:val="00735E7C"/>
    <w:rsid w:val="00736F37"/>
    <w:rsid w:val="00737125"/>
    <w:rsid w:val="00742F5A"/>
    <w:rsid w:val="00745199"/>
    <w:rsid w:val="00745495"/>
    <w:rsid w:val="007459A5"/>
    <w:rsid w:val="00745D7E"/>
    <w:rsid w:val="007476FE"/>
    <w:rsid w:val="00750F83"/>
    <w:rsid w:val="00751385"/>
    <w:rsid w:val="00751543"/>
    <w:rsid w:val="00752334"/>
    <w:rsid w:val="00753354"/>
    <w:rsid w:val="00754E87"/>
    <w:rsid w:val="00757E1B"/>
    <w:rsid w:val="00761762"/>
    <w:rsid w:val="007635B1"/>
    <w:rsid w:val="007648F3"/>
    <w:rsid w:val="00765BE9"/>
    <w:rsid w:val="00771006"/>
    <w:rsid w:val="007737D1"/>
    <w:rsid w:val="00780305"/>
    <w:rsid w:val="00782052"/>
    <w:rsid w:val="007831AC"/>
    <w:rsid w:val="00784099"/>
    <w:rsid w:val="00785180"/>
    <w:rsid w:val="00786230"/>
    <w:rsid w:val="00786E7E"/>
    <w:rsid w:val="00787384"/>
    <w:rsid w:val="00794BBC"/>
    <w:rsid w:val="00795147"/>
    <w:rsid w:val="0079782F"/>
    <w:rsid w:val="007A305E"/>
    <w:rsid w:val="007A6533"/>
    <w:rsid w:val="007A719F"/>
    <w:rsid w:val="007B0C52"/>
    <w:rsid w:val="007B19E0"/>
    <w:rsid w:val="007B1B4E"/>
    <w:rsid w:val="007B2341"/>
    <w:rsid w:val="007B53AF"/>
    <w:rsid w:val="007B55BC"/>
    <w:rsid w:val="007B6293"/>
    <w:rsid w:val="007B6DC0"/>
    <w:rsid w:val="007B71DE"/>
    <w:rsid w:val="007B741C"/>
    <w:rsid w:val="007C3D9D"/>
    <w:rsid w:val="007C46B5"/>
    <w:rsid w:val="007D05C2"/>
    <w:rsid w:val="007D1D0C"/>
    <w:rsid w:val="007D6C51"/>
    <w:rsid w:val="007E1882"/>
    <w:rsid w:val="007E2058"/>
    <w:rsid w:val="007E4C37"/>
    <w:rsid w:val="007E601E"/>
    <w:rsid w:val="007F1BE9"/>
    <w:rsid w:val="007F2737"/>
    <w:rsid w:val="007F30BE"/>
    <w:rsid w:val="007F404D"/>
    <w:rsid w:val="00800F7B"/>
    <w:rsid w:val="0080247E"/>
    <w:rsid w:val="00802803"/>
    <w:rsid w:val="0080486E"/>
    <w:rsid w:val="008129C3"/>
    <w:rsid w:val="00812E4B"/>
    <w:rsid w:val="00814A8A"/>
    <w:rsid w:val="00816115"/>
    <w:rsid w:val="00822294"/>
    <w:rsid w:val="00826482"/>
    <w:rsid w:val="00827D95"/>
    <w:rsid w:val="00831517"/>
    <w:rsid w:val="008328B7"/>
    <w:rsid w:val="008339DE"/>
    <w:rsid w:val="008343D3"/>
    <w:rsid w:val="00834975"/>
    <w:rsid w:val="00842406"/>
    <w:rsid w:val="00842D29"/>
    <w:rsid w:val="00842F33"/>
    <w:rsid w:val="00843BC4"/>
    <w:rsid w:val="008459D3"/>
    <w:rsid w:val="00846230"/>
    <w:rsid w:val="00847C58"/>
    <w:rsid w:val="008519BC"/>
    <w:rsid w:val="0085215A"/>
    <w:rsid w:val="00853E33"/>
    <w:rsid w:val="0085480C"/>
    <w:rsid w:val="00854A69"/>
    <w:rsid w:val="00855022"/>
    <w:rsid w:val="00856E54"/>
    <w:rsid w:val="00857B22"/>
    <w:rsid w:val="00857C63"/>
    <w:rsid w:val="0086070D"/>
    <w:rsid w:val="0086298B"/>
    <w:rsid w:val="00865310"/>
    <w:rsid w:val="00865EFE"/>
    <w:rsid w:val="0086629E"/>
    <w:rsid w:val="008669C1"/>
    <w:rsid w:val="0087414C"/>
    <w:rsid w:val="008763E2"/>
    <w:rsid w:val="00881BBD"/>
    <w:rsid w:val="00881C18"/>
    <w:rsid w:val="008900E7"/>
    <w:rsid w:val="008913E8"/>
    <w:rsid w:val="00891CFB"/>
    <w:rsid w:val="008926E6"/>
    <w:rsid w:val="00894C61"/>
    <w:rsid w:val="00894E7B"/>
    <w:rsid w:val="00894FD8"/>
    <w:rsid w:val="00895BC7"/>
    <w:rsid w:val="00896597"/>
    <w:rsid w:val="008A32CC"/>
    <w:rsid w:val="008A3306"/>
    <w:rsid w:val="008A5009"/>
    <w:rsid w:val="008B00B4"/>
    <w:rsid w:val="008B1259"/>
    <w:rsid w:val="008B1D46"/>
    <w:rsid w:val="008B557F"/>
    <w:rsid w:val="008B70DB"/>
    <w:rsid w:val="008C2538"/>
    <w:rsid w:val="008C3104"/>
    <w:rsid w:val="008C4E74"/>
    <w:rsid w:val="008C6774"/>
    <w:rsid w:val="008D04D9"/>
    <w:rsid w:val="008D3ADE"/>
    <w:rsid w:val="008E0A9E"/>
    <w:rsid w:val="008E3525"/>
    <w:rsid w:val="008E54F0"/>
    <w:rsid w:val="008E5670"/>
    <w:rsid w:val="008E5A8F"/>
    <w:rsid w:val="008F09FC"/>
    <w:rsid w:val="008F0A36"/>
    <w:rsid w:val="008F265E"/>
    <w:rsid w:val="008F32C5"/>
    <w:rsid w:val="008F49C8"/>
    <w:rsid w:val="008F4A0A"/>
    <w:rsid w:val="008F592C"/>
    <w:rsid w:val="008F7E86"/>
    <w:rsid w:val="008F7FDB"/>
    <w:rsid w:val="0090163E"/>
    <w:rsid w:val="00904B42"/>
    <w:rsid w:val="00905055"/>
    <w:rsid w:val="00906CF0"/>
    <w:rsid w:val="0091060B"/>
    <w:rsid w:val="0091157A"/>
    <w:rsid w:val="009138F0"/>
    <w:rsid w:val="0091675D"/>
    <w:rsid w:val="009167F7"/>
    <w:rsid w:val="00917C71"/>
    <w:rsid w:val="009216E7"/>
    <w:rsid w:val="0092336B"/>
    <w:rsid w:val="00924D3A"/>
    <w:rsid w:val="009252DC"/>
    <w:rsid w:val="009269C6"/>
    <w:rsid w:val="00933CF5"/>
    <w:rsid w:val="009358AA"/>
    <w:rsid w:val="00941A4E"/>
    <w:rsid w:val="00942354"/>
    <w:rsid w:val="009459FA"/>
    <w:rsid w:val="00945E54"/>
    <w:rsid w:val="0095045B"/>
    <w:rsid w:val="009509FD"/>
    <w:rsid w:val="0095140D"/>
    <w:rsid w:val="00954010"/>
    <w:rsid w:val="00954918"/>
    <w:rsid w:val="00956F98"/>
    <w:rsid w:val="00957F2E"/>
    <w:rsid w:val="00963B2A"/>
    <w:rsid w:val="009646F7"/>
    <w:rsid w:val="00966479"/>
    <w:rsid w:val="009667F4"/>
    <w:rsid w:val="00970D69"/>
    <w:rsid w:val="00974012"/>
    <w:rsid w:val="00974874"/>
    <w:rsid w:val="0098023F"/>
    <w:rsid w:val="009820D1"/>
    <w:rsid w:val="00985F27"/>
    <w:rsid w:val="009906EC"/>
    <w:rsid w:val="00991128"/>
    <w:rsid w:val="009912E3"/>
    <w:rsid w:val="00992A46"/>
    <w:rsid w:val="009933D6"/>
    <w:rsid w:val="009941E6"/>
    <w:rsid w:val="009947C2"/>
    <w:rsid w:val="009964D5"/>
    <w:rsid w:val="00996C83"/>
    <w:rsid w:val="00996FF2"/>
    <w:rsid w:val="009A2313"/>
    <w:rsid w:val="009A47F7"/>
    <w:rsid w:val="009A4C43"/>
    <w:rsid w:val="009A5C9A"/>
    <w:rsid w:val="009A79E3"/>
    <w:rsid w:val="009B0E7A"/>
    <w:rsid w:val="009B7C3E"/>
    <w:rsid w:val="009C11A5"/>
    <w:rsid w:val="009C156D"/>
    <w:rsid w:val="009C35D0"/>
    <w:rsid w:val="009C4BD3"/>
    <w:rsid w:val="009C4CF1"/>
    <w:rsid w:val="009C746B"/>
    <w:rsid w:val="009D1888"/>
    <w:rsid w:val="009D3955"/>
    <w:rsid w:val="009D3C40"/>
    <w:rsid w:val="009D4B9B"/>
    <w:rsid w:val="009D742C"/>
    <w:rsid w:val="009D7BB0"/>
    <w:rsid w:val="009E0489"/>
    <w:rsid w:val="009E06E7"/>
    <w:rsid w:val="009E1DBC"/>
    <w:rsid w:val="009E29CA"/>
    <w:rsid w:val="009E303D"/>
    <w:rsid w:val="009E548D"/>
    <w:rsid w:val="009E6841"/>
    <w:rsid w:val="009F0EA6"/>
    <w:rsid w:val="009F29A2"/>
    <w:rsid w:val="009F2FE0"/>
    <w:rsid w:val="009F3C9C"/>
    <w:rsid w:val="009F3D8D"/>
    <w:rsid w:val="009F4693"/>
    <w:rsid w:val="009F59FE"/>
    <w:rsid w:val="009F72DC"/>
    <w:rsid w:val="009F73C0"/>
    <w:rsid w:val="009F78C3"/>
    <w:rsid w:val="009F7C5A"/>
    <w:rsid w:val="00A012DF"/>
    <w:rsid w:val="00A05AAC"/>
    <w:rsid w:val="00A067C7"/>
    <w:rsid w:val="00A109E2"/>
    <w:rsid w:val="00A13991"/>
    <w:rsid w:val="00A13EA0"/>
    <w:rsid w:val="00A14189"/>
    <w:rsid w:val="00A14915"/>
    <w:rsid w:val="00A15588"/>
    <w:rsid w:val="00A16059"/>
    <w:rsid w:val="00A16F74"/>
    <w:rsid w:val="00A20546"/>
    <w:rsid w:val="00A20781"/>
    <w:rsid w:val="00A21701"/>
    <w:rsid w:val="00A22DA6"/>
    <w:rsid w:val="00A2766E"/>
    <w:rsid w:val="00A3161D"/>
    <w:rsid w:val="00A32057"/>
    <w:rsid w:val="00A323DE"/>
    <w:rsid w:val="00A32CA6"/>
    <w:rsid w:val="00A37007"/>
    <w:rsid w:val="00A37E44"/>
    <w:rsid w:val="00A4107B"/>
    <w:rsid w:val="00A43CDC"/>
    <w:rsid w:val="00A44A67"/>
    <w:rsid w:val="00A44EBB"/>
    <w:rsid w:val="00A451B6"/>
    <w:rsid w:val="00A5175B"/>
    <w:rsid w:val="00A529F9"/>
    <w:rsid w:val="00A558D3"/>
    <w:rsid w:val="00A559BD"/>
    <w:rsid w:val="00A612E0"/>
    <w:rsid w:val="00A653D7"/>
    <w:rsid w:val="00A65A41"/>
    <w:rsid w:val="00A6683F"/>
    <w:rsid w:val="00A67F8A"/>
    <w:rsid w:val="00A71367"/>
    <w:rsid w:val="00A724CE"/>
    <w:rsid w:val="00A7328F"/>
    <w:rsid w:val="00A73871"/>
    <w:rsid w:val="00A75A20"/>
    <w:rsid w:val="00A77C16"/>
    <w:rsid w:val="00A80148"/>
    <w:rsid w:val="00A80D59"/>
    <w:rsid w:val="00A8582B"/>
    <w:rsid w:val="00A90A5C"/>
    <w:rsid w:val="00A91D1C"/>
    <w:rsid w:val="00A9332B"/>
    <w:rsid w:val="00A93729"/>
    <w:rsid w:val="00A95D0E"/>
    <w:rsid w:val="00AA15D2"/>
    <w:rsid w:val="00AA2070"/>
    <w:rsid w:val="00AA3C38"/>
    <w:rsid w:val="00AA737A"/>
    <w:rsid w:val="00AB0E6B"/>
    <w:rsid w:val="00AB6D47"/>
    <w:rsid w:val="00AB7D5F"/>
    <w:rsid w:val="00AC327B"/>
    <w:rsid w:val="00AC6084"/>
    <w:rsid w:val="00AC7B27"/>
    <w:rsid w:val="00AD0A53"/>
    <w:rsid w:val="00AD197D"/>
    <w:rsid w:val="00AD27CA"/>
    <w:rsid w:val="00AD3583"/>
    <w:rsid w:val="00AD467B"/>
    <w:rsid w:val="00AD4F81"/>
    <w:rsid w:val="00AD5693"/>
    <w:rsid w:val="00AD601F"/>
    <w:rsid w:val="00AD7E8E"/>
    <w:rsid w:val="00AE313E"/>
    <w:rsid w:val="00AE4B39"/>
    <w:rsid w:val="00AE5C8E"/>
    <w:rsid w:val="00AF04FA"/>
    <w:rsid w:val="00AF0C36"/>
    <w:rsid w:val="00AF1276"/>
    <w:rsid w:val="00AF5371"/>
    <w:rsid w:val="00AF5F8A"/>
    <w:rsid w:val="00AF6D44"/>
    <w:rsid w:val="00AF6DB0"/>
    <w:rsid w:val="00AF77DB"/>
    <w:rsid w:val="00B00479"/>
    <w:rsid w:val="00B01E62"/>
    <w:rsid w:val="00B04504"/>
    <w:rsid w:val="00B047B4"/>
    <w:rsid w:val="00B04EE6"/>
    <w:rsid w:val="00B055D6"/>
    <w:rsid w:val="00B06842"/>
    <w:rsid w:val="00B11B34"/>
    <w:rsid w:val="00B11F88"/>
    <w:rsid w:val="00B130FF"/>
    <w:rsid w:val="00B13CD7"/>
    <w:rsid w:val="00B14EF8"/>
    <w:rsid w:val="00B178D4"/>
    <w:rsid w:val="00B20724"/>
    <w:rsid w:val="00B21B33"/>
    <w:rsid w:val="00B224BA"/>
    <w:rsid w:val="00B239C6"/>
    <w:rsid w:val="00B24FF4"/>
    <w:rsid w:val="00B26222"/>
    <w:rsid w:val="00B27444"/>
    <w:rsid w:val="00B3284B"/>
    <w:rsid w:val="00B34BC9"/>
    <w:rsid w:val="00B36021"/>
    <w:rsid w:val="00B3773E"/>
    <w:rsid w:val="00B45581"/>
    <w:rsid w:val="00B45948"/>
    <w:rsid w:val="00B459E6"/>
    <w:rsid w:val="00B472AA"/>
    <w:rsid w:val="00B507EA"/>
    <w:rsid w:val="00B50DB4"/>
    <w:rsid w:val="00B52538"/>
    <w:rsid w:val="00B52E3D"/>
    <w:rsid w:val="00B531CB"/>
    <w:rsid w:val="00B5345F"/>
    <w:rsid w:val="00B577C9"/>
    <w:rsid w:val="00B623F5"/>
    <w:rsid w:val="00B64BCE"/>
    <w:rsid w:val="00B66AD5"/>
    <w:rsid w:val="00B7286C"/>
    <w:rsid w:val="00B75E25"/>
    <w:rsid w:val="00B764F1"/>
    <w:rsid w:val="00B76727"/>
    <w:rsid w:val="00B80938"/>
    <w:rsid w:val="00B857A4"/>
    <w:rsid w:val="00B8661E"/>
    <w:rsid w:val="00B875DC"/>
    <w:rsid w:val="00B90345"/>
    <w:rsid w:val="00B90AF3"/>
    <w:rsid w:val="00B9149E"/>
    <w:rsid w:val="00B9220C"/>
    <w:rsid w:val="00B9405E"/>
    <w:rsid w:val="00B9516D"/>
    <w:rsid w:val="00B95474"/>
    <w:rsid w:val="00B957E9"/>
    <w:rsid w:val="00B97A0E"/>
    <w:rsid w:val="00B97C2C"/>
    <w:rsid w:val="00BA02D5"/>
    <w:rsid w:val="00BA29CC"/>
    <w:rsid w:val="00BA659A"/>
    <w:rsid w:val="00BA6B29"/>
    <w:rsid w:val="00BA7259"/>
    <w:rsid w:val="00BA7734"/>
    <w:rsid w:val="00BA7EC0"/>
    <w:rsid w:val="00BB2D8B"/>
    <w:rsid w:val="00BB313F"/>
    <w:rsid w:val="00BB75B1"/>
    <w:rsid w:val="00BB77B7"/>
    <w:rsid w:val="00BC1EB3"/>
    <w:rsid w:val="00BC51E6"/>
    <w:rsid w:val="00BC59CE"/>
    <w:rsid w:val="00BC621C"/>
    <w:rsid w:val="00BC66B0"/>
    <w:rsid w:val="00BC7817"/>
    <w:rsid w:val="00BC7B43"/>
    <w:rsid w:val="00BD224E"/>
    <w:rsid w:val="00BD29C2"/>
    <w:rsid w:val="00BD4AEA"/>
    <w:rsid w:val="00BD5149"/>
    <w:rsid w:val="00BD5718"/>
    <w:rsid w:val="00BD575C"/>
    <w:rsid w:val="00BD5ADA"/>
    <w:rsid w:val="00BE011B"/>
    <w:rsid w:val="00BE06A4"/>
    <w:rsid w:val="00BE0B3F"/>
    <w:rsid w:val="00BE388D"/>
    <w:rsid w:val="00BE4F27"/>
    <w:rsid w:val="00BE6905"/>
    <w:rsid w:val="00BF3515"/>
    <w:rsid w:val="00BF3A47"/>
    <w:rsid w:val="00BF64C7"/>
    <w:rsid w:val="00BF67B7"/>
    <w:rsid w:val="00C00A96"/>
    <w:rsid w:val="00C01F90"/>
    <w:rsid w:val="00C0385B"/>
    <w:rsid w:val="00C06798"/>
    <w:rsid w:val="00C113C8"/>
    <w:rsid w:val="00C1140F"/>
    <w:rsid w:val="00C12047"/>
    <w:rsid w:val="00C1230A"/>
    <w:rsid w:val="00C13C71"/>
    <w:rsid w:val="00C13CF0"/>
    <w:rsid w:val="00C149FA"/>
    <w:rsid w:val="00C17189"/>
    <w:rsid w:val="00C1769C"/>
    <w:rsid w:val="00C20594"/>
    <w:rsid w:val="00C20E3F"/>
    <w:rsid w:val="00C210C4"/>
    <w:rsid w:val="00C219E0"/>
    <w:rsid w:val="00C21DB2"/>
    <w:rsid w:val="00C255C7"/>
    <w:rsid w:val="00C34008"/>
    <w:rsid w:val="00C35AE4"/>
    <w:rsid w:val="00C368CD"/>
    <w:rsid w:val="00C3761B"/>
    <w:rsid w:val="00C3775F"/>
    <w:rsid w:val="00C409D2"/>
    <w:rsid w:val="00C41A7F"/>
    <w:rsid w:val="00C44752"/>
    <w:rsid w:val="00C478B5"/>
    <w:rsid w:val="00C54595"/>
    <w:rsid w:val="00C55CCF"/>
    <w:rsid w:val="00C6131B"/>
    <w:rsid w:val="00C6183A"/>
    <w:rsid w:val="00C647BD"/>
    <w:rsid w:val="00C66DED"/>
    <w:rsid w:val="00C67E4B"/>
    <w:rsid w:val="00C72A25"/>
    <w:rsid w:val="00C75C84"/>
    <w:rsid w:val="00C762D5"/>
    <w:rsid w:val="00C76ED6"/>
    <w:rsid w:val="00C77492"/>
    <w:rsid w:val="00C8013A"/>
    <w:rsid w:val="00C8168E"/>
    <w:rsid w:val="00C82F96"/>
    <w:rsid w:val="00C83083"/>
    <w:rsid w:val="00C83924"/>
    <w:rsid w:val="00C83F13"/>
    <w:rsid w:val="00C85A1D"/>
    <w:rsid w:val="00C86F8A"/>
    <w:rsid w:val="00C900F7"/>
    <w:rsid w:val="00C91198"/>
    <w:rsid w:val="00C92758"/>
    <w:rsid w:val="00C931BF"/>
    <w:rsid w:val="00C93DC6"/>
    <w:rsid w:val="00C94A70"/>
    <w:rsid w:val="00C94F5C"/>
    <w:rsid w:val="00C9672A"/>
    <w:rsid w:val="00C9796E"/>
    <w:rsid w:val="00CA09A0"/>
    <w:rsid w:val="00CA0AE4"/>
    <w:rsid w:val="00CA3D8E"/>
    <w:rsid w:val="00CA55B4"/>
    <w:rsid w:val="00CB0ABB"/>
    <w:rsid w:val="00CB4AA9"/>
    <w:rsid w:val="00CB67FF"/>
    <w:rsid w:val="00CB79D6"/>
    <w:rsid w:val="00CC4126"/>
    <w:rsid w:val="00CC71F1"/>
    <w:rsid w:val="00CD0D1E"/>
    <w:rsid w:val="00CD19F8"/>
    <w:rsid w:val="00CD3101"/>
    <w:rsid w:val="00CD315D"/>
    <w:rsid w:val="00CD3353"/>
    <w:rsid w:val="00CD533C"/>
    <w:rsid w:val="00CD67E1"/>
    <w:rsid w:val="00CD7E81"/>
    <w:rsid w:val="00CE12BF"/>
    <w:rsid w:val="00CE1C59"/>
    <w:rsid w:val="00CE3EBB"/>
    <w:rsid w:val="00CE400E"/>
    <w:rsid w:val="00CE51DB"/>
    <w:rsid w:val="00CE6E00"/>
    <w:rsid w:val="00CF2347"/>
    <w:rsid w:val="00CF3DE9"/>
    <w:rsid w:val="00CF4719"/>
    <w:rsid w:val="00CF7122"/>
    <w:rsid w:val="00CF7246"/>
    <w:rsid w:val="00CF746F"/>
    <w:rsid w:val="00D00892"/>
    <w:rsid w:val="00D01F52"/>
    <w:rsid w:val="00D04E64"/>
    <w:rsid w:val="00D06CC4"/>
    <w:rsid w:val="00D10C7A"/>
    <w:rsid w:val="00D10E1B"/>
    <w:rsid w:val="00D11A1C"/>
    <w:rsid w:val="00D12BBC"/>
    <w:rsid w:val="00D135A4"/>
    <w:rsid w:val="00D17396"/>
    <w:rsid w:val="00D20F0E"/>
    <w:rsid w:val="00D24158"/>
    <w:rsid w:val="00D24E06"/>
    <w:rsid w:val="00D27FA6"/>
    <w:rsid w:val="00D31E50"/>
    <w:rsid w:val="00D3333B"/>
    <w:rsid w:val="00D3361D"/>
    <w:rsid w:val="00D34105"/>
    <w:rsid w:val="00D348B4"/>
    <w:rsid w:val="00D35269"/>
    <w:rsid w:val="00D370A9"/>
    <w:rsid w:val="00D41E11"/>
    <w:rsid w:val="00D4643C"/>
    <w:rsid w:val="00D47093"/>
    <w:rsid w:val="00D47785"/>
    <w:rsid w:val="00D51690"/>
    <w:rsid w:val="00D5598F"/>
    <w:rsid w:val="00D561AD"/>
    <w:rsid w:val="00D561C6"/>
    <w:rsid w:val="00D6007F"/>
    <w:rsid w:val="00D6174A"/>
    <w:rsid w:val="00D62AB0"/>
    <w:rsid w:val="00D63CFF"/>
    <w:rsid w:val="00D71986"/>
    <w:rsid w:val="00D729D4"/>
    <w:rsid w:val="00D74D33"/>
    <w:rsid w:val="00D75650"/>
    <w:rsid w:val="00D75697"/>
    <w:rsid w:val="00D75A6D"/>
    <w:rsid w:val="00D81519"/>
    <w:rsid w:val="00D83153"/>
    <w:rsid w:val="00D838A2"/>
    <w:rsid w:val="00D83DDE"/>
    <w:rsid w:val="00D855BF"/>
    <w:rsid w:val="00D85B4D"/>
    <w:rsid w:val="00D863F2"/>
    <w:rsid w:val="00D8665D"/>
    <w:rsid w:val="00D876DC"/>
    <w:rsid w:val="00D87EB1"/>
    <w:rsid w:val="00D9145D"/>
    <w:rsid w:val="00D918DD"/>
    <w:rsid w:val="00D920E1"/>
    <w:rsid w:val="00D92171"/>
    <w:rsid w:val="00D95378"/>
    <w:rsid w:val="00D95FAE"/>
    <w:rsid w:val="00D97B1C"/>
    <w:rsid w:val="00DA05A2"/>
    <w:rsid w:val="00DA7BDC"/>
    <w:rsid w:val="00DB0EA1"/>
    <w:rsid w:val="00DC03EA"/>
    <w:rsid w:val="00DC0EFA"/>
    <w:rsid w:val="00DC511E"/>
    <w:rsid w:val="00DC6E37"/>
    <w:rsid w:val="00DC747A"/>
    <w:rsid w:val="00DD1210"/>
    <w:rsid w:val="00DD122F"/>
    <w:rsid w:val="00DD22BA"/>
    <w:rsid w:val="00DD41B9"/>
    <w:rsid w:val="00DD4F92"/>
    <w:rsid w:val="00DD58A0"/>
    <w:rsid w:val="00DD66A1"/>
    <w:rsid w:val="00DD7722"/>
    <w:rsid w:val="00DE0590"/>
    <w:rsid w:val="00DE0F4E"/>
    <w:rsid w:val="00DE3345"/>
    <w:rsid w:val="00DE358C"/>
    <w:rsid w:val="00DE3950"/>
    <w:rsid w:val="00DE4343"/>
    <w:rsid w:val="00DE4ED6"/>
    <w:rsid w:val="00DE5A45"/>
    <w:rsid w:val="00DE635D"/>
    <w:rsid w:val="00DE71AA"/>
    <w:rsid w:val="00DF0D1C"/>
    <w:rsid w:val="00DF2C32"/>
    <w:rsid w:val="00DF6BAE"/>
    <w:rsid w:val="00DF6E57"/>
    <w:rsid w:val="00DF7394"/>
    <w:rsid w:val="00E00EB4"/>
    <w:rsid w:val="00E022DC"/>
    <w:rsid w:val="00E03248"/>
    <w:rsid w:val="00E04685"/>
    <w:rsid w:val="00E05196"/>
    <w:rsid w:val="00E06B89"/>
    <w:rsid w:val="00E06D21"/>
    <w:rsid w:val="00E06D98"/>
    <w:rsid w:val="00E07743"/>
    <w:rsid w:val="00E10BA5"/>
    <w:rsid w:val="00E1387D"/>
    <w:rsid w:val="00E229AF"/>
    <w:rsid w:val="00E22DD5"/>
    <w:rsid w:val="00E23656"/>
    <w:rsid w:val="00E245D0"/>
    <w:rsid w:val="00E24884"/>
    <w:rsid w:val="00E25612"/>
    <w:rsid w:val="00E25B6F"/>
    <w:rsid w:val="00E36574"/>
    <w:rsid w:val="00E428C9"/>
    <w:rsid w:val="00E4741E"/>
    <w:rsid w:val="00E53236"/>
    <w:rsid w:val="00E6217C"/>
    <w:rsid w:val="00E626AE"/>
    <w:rsid w:val="00E634E9"/>
    <w:rsid w:val="00E63B22"/>
    <w:rsid w:val="00E64352"/>
    <w:rsid w:val="00E64A70"/>
    <w:rsid w:val="00E65699"/>
    <w:rsid w:val="00E674BA"/>
    <w:rsid w:val="00E700BC"/>
    <w:rsid w:val="00E70219"/>
    <w:rsid w:val="00E72B49"/>
    <w:rsid w:val="00E73E20"/>
    <w:rsid w:val="00E806F2"/>
    <w:rsid w:val="00E80708"/>
    <w:rsid w:val="00E842BF"/>
    <w:rsid w:val="00E84312"/>
    <w:rsid w:val="00E84A5B"/>
    <w:rsid w:val="00E930AD"/>
    <w:rsid w:val="00E9341F"/>
    <w:rsid w:val="00E93B55"/>
    <w:rsid w:val="00E94BE2"/>
    <w:rsid w:val="00EA5B88"/>
    <w:rsid w:val="00EA69FC"/>
    <w:rsid w:val="00EA7A0C"/>
    <w:rsid w:val="00EB01DE"/>
    <w:rsid w:val="00EB1AF7"/>
    <w:rsid w:val="00EB3BA4"/>
    <w:rsid w:val="00EB6E08"/>
    <w:rsid w:val="00EB7AD9"/>
    <w:rsid w:val="00EB7C04"/>
    <w:rsid w:val="00EB7D31"/>
    <w:rsid w:val="00EC05F5"/>
    <w:rsid w:val="00EC0F00"/>
    <w:rsid w:val="00ED0006"/>
    <w:rsid w:val="00ED1412"/>
    <w:rsid w:val="00ED2960"/>
    <w:rsid w:val="00ED5A53"/>
    <w:rsid w:val="00ED64DC"/>
    <w:rsid w:val="00ED675A"/>
    <w:rsid w:val="00ED6AF3"/>
    <w:rsid w:val="00EE013B"/>
    <w:rsid w:val="00EE1190"/>
    <w:rsid w:val="00EE2ACA"/>
    <w:rsid w:val="00EE5D49"/>
    <w:rsid w:val="00EF3D36"/>
    <w:rsid w:val="00EF44AB"/>
    <w:rsid w:val="00EF56BB"/>
    <w:rsid w:val="00EF6004"/>
    <w:rsid w:val="00EF64DA"/>
    <w:rsid w:val="00F00708"/>
    <w:rsid w:val="00F022E2"/>
    <w:rsid w:val="00F025CB"/>
    <w:rsid w:val="00F03432"/>
    <w:rsid w:val="00F072B8"/>
    <w:rsid w:val="00F074C6"/>
    <w:rsid w:val="00F13D9C"/>
    <w:rsid w:val="00F14A8F"/>
    <w:rsid w:val="00F15BFF"/>
    <w:rsid w:val="00F15D0D"/>
    <w:rsid w:val="00F16217"/>
    <w:rsid w:val="00F1672D"/>
    <w:rsid w:val="00F17A80"/>
    <w:rsid w:val="00F216FC"/>
    <w:rsid w:val="00F224D2"/>
    <w:rsid w:val="00F23CCF"/>
    <w:rsid w:val="00F23E8C"/>
    <w:rsid w:val="00F24D6E"/>
    <w:rsid w:val="00F26B9C"/>
    <w:rsid w:val="00F323FC"/>
    <w:rsid w:val="00F34F10"/>
    <w:rsid w:val="00F35A26"/>
    <w:rsid w:val="00F363DD"/>
    <w:rsid w:val="00F36677"/>
    <w:rsid w:val="00F4112E"/>
    <w:rsid w:val="00F43487"/>
    <w:rsid w:val="00F4420D"/>
    <w:rsid w:val="00F443DB"/>
    <w:rsid w:val="00F44580"/>
    <w:rsid w:val="00F45683"/>
    <w:rsid w:val="00F470AC"/>
    <w:rsid w:val="00F51086"/>
    <w:rsid w:val="00F52C22"/>
    <w:rsid w:val="00F54252"/>
    <w:rsid w:val="00F57479"/>
    <w:rsid w:val="00F61254"/>
    <w:rsid w:val="00F63EB7"/>
    <w:rsid w:val="00F65E35"/>
    <w:rsid w:val="00F65E61"/>
    <w:rsid w:val="00F6760F"/>
    <w:rsid w:val="00F707D4"/>
    <w:rsid w:val="00F73179"/>
    <w:rsid w:val="00F75BAA"/>
    <w:rsid w:val="00F7629C"/>
    <w:rsid w:val="00F7677A"/>
    <w:rsid w:val="00F8251F"/>
    <w:rsid w:val="00F83FFA"/>
    <w:rsid w:val="00F841C0"/>
    <w:rsid w:val="00F85063"/>
    <w:rsid w:val="00F85BD9"/>
    <w:rsid w:val="00F94AC7"/>
    <w:rsid w:val="00F952F4"/>
    <w:rsid w:val="00F9552D"/>
    <w:rsid w:val="00F9736E"/>
    <w:rsid w:val="00FA2560"/>
    <w:rsid w:val="00FA4394"/>
    <w:rsid w:val="00FA4590"/>
    <w:rsid w:val="00FA4E3B"/>
    <w:rsid w:val="00FA6534"/>
    <w:rsid w:val="00FA6C36"/>
    <w:rsid w:val="00FA71E8"/>
    <w:rsid w:val="00FB1245"/>
    <w:rsid w:val="00FB20C6"/>
    <w:rsid w:val="00FB4541"/>
    <w:rsid w:val="00FB59BD"/>
    <w:rsid w:val="00FB66AF"/>
    <w:rsid w:val="00FB7272"/>
    <w:rsid w:val="00FC15FF"/>
    <w:rsid w:val="00FC40EB"/>
    <w:rsid w:val="00FC4A30"/>
    <w:rsid w:val="00FC7E55"/>
    <w:rsid w:val="00FD0705"/>
    <w:rsid w:val="00FD5538"/>
    <w:rsid w:val="00FD5DA2"/>
    <w:rsid w:val="00FD75E5"/>
    <w:rsid w:val="00FE2DBC"/>
    <w:rsid w:val="00FE6E4B"/>
    <w:rsid w:val="00FE7020"/>
    <w:rsid w:val="00FF0794"/>
    <w:rsid w:val="00FF2496"/>
    <w:rsid w:val="00FF3AAB"/>
    <w:rsid w:val="00FF3D2F"/>
    <w:rsid w:val="00FF477E"/>
    <w:rsid w:val="00FF5152"/>
    <w:rsid w:val="00FF6904"/>
    <w:rsid w:val="0159228A"/>
    <w:rsid w:val="01FF9377"/>
    <w:rsid w:val="021264E6"/>
    <w:rsid w:val="021B3EEA"/>
    <w:rsid w:val="0324050A"/>
    <w:rsid w:val="032A406F"/>
    <w:rsid w:val="03AB330D"/>
    <w:rsid w:val="04357B59"/>
    <w:rsid w:val="0472461C"/>
    <w:rsid w:val="048D08C6"/>
    <w:rsid w:val="05247454"/>
    <w:rsid w:val="05732DF8"/>
    <w:rsid w:val="057A5FE0"/>
    <w:rsid w:val="05997C6E"/>
    <w:rsid w:val="05B4400D"/>
    <w:rsid w:val="05F77C2F"/>
    <w:rsid w:val="06077E52"/>
    <w:rsid w:val="064F22C2"/>
    <w:rsid w:val="06537698"/>
    <w:rsid w:val="065612B1"/>
    <w:rsid w:val="06D86713"/>
    <w:rsid w:val="070F14CB"/>
    <w:rsid w:val="077A2743"/>
    <w:rsid w:val="07CB7A3A"/>
    <w:rsid w:val="080E7987"/>
    <w:rsid w:val="08E736FA"/>
    <w:rsid w:val="08EA6541"/>
    <w:rsid w:val="0A582FA3"/>
    <w:rsid w:val="0A761D85"/>
    <w:rsid w:val="0AA424E5"/>
    <w:rsid w:val="0B6634E2"/>
    <w:rsid w:val="0BD43F72"/>
    <w:rsid w:val="0BDA43EF"/>
    <w:rsid w:val="0BFD38CD"/>
    <w:rsid w:val="0CB94F9B"/>
    <w:rsid w:val="0DA47D6E"/>
    <w:rsid w:val="0DE137B5"/>
    <w:rsid w:val="0DFD2C65"/>
    <w:rsid w:val="0EDE60D5"/>
    <w:rsid w:val="0F4344A9"/>
    <w:rsid w:val="102F6851"/>
    <w:rsid w:val="106833E5"/>
    <w:rsid w:val="10771E1B"/>
    <w:rsid w:val="11297D0B"/>
    <w:rsid w:val="11C97FB7"/>
    <w:rsid w:val="12204B16"/>
    <w:rsid w:val="12B83C30"/>
    <w:rsid w:val="12F42EB1"/>
    <w:rsid w:val="13561762"/>
    <w:rsid w:val="139A7017"/>
    <w:rsid w:val="145021F6"/>
    <w:rsid w:val="14585DB3"/>
    <w:rsid w:val="145D1A19"/>
    <w:rsid w:val="14CC3EA2"/>
    <w:rsid w:val="151D77BC"/>
    <w:rsid w:val="157B2E2C"/>
    <w:rsid w:val="15AB59D6"/>
    <w:rsid w:val="160F7395"/>
    <w:rsid w:val="16A6693F"/>
    <w:rsid w:val="173A4862"/>
    <w:rsid w:val="17C51DE8"/>
    <w:rsid w:val="17F02020"/>
    <w:rsid w:val="181F070B"/>
    <w:rsid w:val="183D17BA"/>
    <w:rsid w:val="18AD2137"/>
    <w:rsid w:val="18B727C0"/>
    <w:rsid w:val="18BC438C"/>
    <w:rsid w:val="18F97BEE"/>
    <w:rsid w:val="19774E31"/>
    <w:rsid w:val="19E7B9B3"/>
    <w:rsid w:val="1AB43CFC"/>
    <w:rsid w:val="1AF75AB4"/>
    <w:rsid w:val="1C26505B"/>
    <w:rsid w:val="1C8E6817"/>
    <w:rsid w:val="1CB800B3"/>
    <w:rsid w:val="1D1E5BC5"/>
    <w:rsid w:val="1D9A64BF"/>
    <w:rsid w:val="1EDF24CF"/>
    <w:rsid w:val="1EFF57B9"/>
    <w:rsid w:val="1F654729"/>
    <w:rsid w:val="1FF748CB"/>
    <w:rsid w:val="20864B24"/>
    <w:rsid w:val="209C2460"/>
    <w:rsid w:val="21D63530"/>
    <w:rsid w:val="22E52863"/>
    <w:rsid w:val="22E677EB"/>
    <w:rsid w:val="238C0C3A"/>
    <w:rsid w:val="23B71D90"/>
    <w:rsid w:val="23C209E4"/>
    <w:rsid w:val="23D1315E"/>
    <w:rsid w:val="246F2928"/>
    <w:rsid w:val="24F20F70"/>
    <w:rsid w:val="25771EE3"/>
    <w:rsid w:val="25B52B0D"/>
    <w:rsid w:val="25FE380F"/>
    <w:rsid w:val="2651364B"/>
    <w:rsid w:val="26903C49"/>
    <w:rsid w:val="272A3462"/>
    <w:rsid w:val="2759155B"/>
    <w:rsid w:val="276F0F6E"/>
    <w:rsid w:val="27960B80"/>
    <w:rsid w:val="28165A48"/>
    <w:rsid w:val="28764B73"/>
    <w:rsid w:val="28A065AA"/>
    <w:rsid w:val="29EE7B78"/>
    <w:rsid w:val="2A6E109B"/>
    <w:rsid w:val="2BF530BB"/>
    <w:rsid w:val="2C9E5B82"/>
    <w:rsid w:val="2D1F7772"/>
    <w:rsid w:val="2E55523B"/>
    <w:rsid w:val="2ECB4756"/>
    <w:rsid w:val="2EFD149F"/>
    <w:rsid w:val="2F513B39"/>
    <w:rsid w:val="2F77706C"/>
    <w:rsid w:val="2F91129F"/>
    <w:rsid w:val="2FA57025"/>
    <w:rsid w:val="304508AE"/>
    <w:rsid w:val="3066174D"/>
    <w:rsid w:val="30E67403"/>
    <w:rsid w:val="31445A76"/>
    <w:rsid w:val="31DE7F87"/>
    <w:rsid w:val="32371EC0"/>
    <w:rsid w:val="32BD2405"/>
    <w:rsid w:val="33185FE0"/>
    <w:rsid w:val="338A524F"/>
    <w:rsid w:val="33B549E3"/>
    <w:rsid w:val="344F3CAE"/>
    <w:rsid w:val="347A32B8"/>
    <w:rsid w:val="347D2292"/>
    <w:rsid w:val="34CE2CB6"/>
    <w:rsid w:val="35900270"/>
    <w:rsid w:val="35C21F2C"/>
    <w:rsid w:val="35DF4252"/>
    <w:rsid w:val="3620792F"/>
    <w:rsid w:val="3693C2BD"/>
    <w:rsid w:val="369E42A5"/>
    <w:rsid w:val="36DFB5CF"/>
    <w:rsid w:val="37135A8B"/>
    <w:rsid w:val="377F7936"/>
    <w:rsid w:val="38433B5E"/>
    <w:rsid w:val="392449EC"/>
    <w:rsid w:val="393B1894"/>
    <w:rsid w:val="395A7F3F"/>
    <w:rsid w:val="39D716D7"/>
    <w:rsid w:val="3A0079AD"/>
    <w:rsid w:val="3A084047"/>
    <w:rsid w:val="3A2E6399"/>
    <w:rsid w:val="3AD43416"/>
    <w:rsid w:val="3B000053"/>
    <w:rsid w:val="3B313BE5"/>
    <w:rsid w:val="3B9A2B3D"/>
    <w:rsid w:val="3CF260D8"/>
    <w:rsid w:val="3DB272EA"/>
    <w:rsid w:val="3DFAAEC7"/>
    <w:rsid w:val="3E014781"/>
    <w:rsid w:val="3E1C085D"/>
    <w:rsid w:val="3F1B0671"/>
    <w:rsid w:val="3F7B3B3A"/>
    <w:rsid w:val="4035071E"/>
    <w:rsid w:val="406469C8"/>
    <w:rsid w:val="40F842C7"/>
    <w:rsid w:val="41073934"/>
    <w:rsid w:val="424674DD"/>
    <w:rsid w:val="424D722E"/>
    <w:rsid w:val="425E77A8"/>
    <w:rsid w:val="43CC5C41"/>
    <w:rsid w:val="4446219D"/>
    <w:rsid w:val="44A937A1"/>
    <w:rsid w:val="44AA0B5C"/>
    <w:rsid w:val="452E7944"/>
    <w:rsid w:val="456C4D49"/>
    <w:rsid w:val="45770A1F"/>
    <w:rsid w:val="45F22FE1"/>
    <w:rsid w:val="46053110"/>
    <w:rsid w:val="46586F36"/>
    <w:rsid w:val="46D52738"/>
    <w:rsid w:val="47660C20"/>
    <w:rsid w:val="47B7962E"/>
    <w:rsid w:val="47C10D61"/>
    <w:rsid w:val="483E4731"/>
    <w:rsid w:val="491D68C3"/>
    <w:rsid w:val="494B29B6"/>
    <w:rsid w:val="49527467"/>
    <w:rsid w:val="499B0B82"/>
    <w:rsid w:val="49D07140"/>
    <w:rsid w:val="4A1F1516"/>
    <w:rsid w:val="4A3E02C1"/>
    <w:rsid w:val="4A5961F9"/>
    <w:rsid w:val="4A8F7ABB"/>
    <w:rsid w:val="4B3233F4"/>
    <w:rsid w:val="4B3E15B3"/>
    <w:rsid w:val="4B4F22A1"/>
    <w:rsid w:val="4B5229BA"/>
    <w:rsid w:val="4BB335CF"/>
    <w:rsid w:val="4BB45A11"/>
    <w:rsid w:val="4CDB15C2"/>
    <w:rsid w:val="4D03731B"/>
    <w:rsid w:val="4D283C56"/>
    <w:rsid w:val="4D591A84"/>
    <w:rsid w:val="4DF05073"/>
    <w:rsid w:val="4E4A45E1"/>
    <w:rsid w:val="4EEF34FB"/>
    <w:rsid w:val="4F900099"/>
    <w:rsid w:val="4FC06B23"/>
    <w:rsid w:val="4FFE7C83"/>
    <w:rsid w:val="50B53FA0"/>
    <w:rsid w:val="51CF3819"/>
    <w:rsid w:val="52412225"/>
    <w:rsid w:val="52A51BE8"/>
    <w:rsid w:val="52D0793D"/>
    <w:rsid w:val="53352733"/>
    <w:rsid w:val="5350393E"/>
    <w:rsid w:val="540E446D"/>
    <w:rsid w:val="54574843"/>
    <w:rsid w:val="55041621"/>
    <w:rsid w:val="556234C6"/>
    <w:rsid w:val="557D7358"/>
    <w:rsid w:val="55FBC7A0"/>
    <w:rsid w:val="56D27EB7"/>
    <w:rsid w:val="572C6094"/>
    <w:rsid w:val="59647E3D"/>
    <w:rsid w:val="5ABF1B52"/>
    <w:rsid w:val="5B056802"/>
    <w:rsid w:val="5B486932"/>
    <w:rsid w:val="5B9E6D1D"/>
    <w:rsid w:val="5BBA7E8A"/>
    <w:rsid w:val="5BD21EE6"/>
    <w:rsid w:val="5BDB5842"/>
    <w:rsid w:val="5C0163FF"/>
    <w:rsid w:val="5C22620F"/>
    <w:rsid w:val="5C4555A0"/>
    <w:rsid w:val="5C854A06"/>
    <w:rsid w:val="5CA07E30"/>
    <w:rsid w:val="5CEA0A82"/>
    <w:rsid w:val="5CFB1C9C"/>
    <w:rsid w:val="5D8E3C44"/>
    <w:rsid w:val="5DBC65F2"/>
    <w:rsid w:val="5DF340C3"/>
    <w:rsid w:val="5DFBC67B"/>
    <w:rsid w:val="5E4169FD"/>
    <w:rsid w:val="5E534A22"/>
    <w:rsid w:val="5FA96FD3"/>
    <w:rsid w:val="5FAF5296"/>
    <w:rsid w:val="5FCEA31D"/>
    <w:rsid w:val="5FEF231C"/>
    <w:rsid w:val="5FEF8AEF"/>
    <w:rsid w:val="5FFC6ABD"/>
    <w:rsid w:val="60391F60"/>
    <w:rsid w:val="60613D3B"/>
    <w:rsid w:val="60893B05"/>
    <w:rsid w:val="60A324DB"/>
    <w:rsid w:val="60DD77C7"/>
    <w:rsid w:val="611E2231"/>
    <w:rsid w:val="61AD3F29"/>
    <w:rsid w:val="61E53E90"/>
    <w:rsid w:val="61F12ED9"/>
    <w:rsid w:val="627E5B1C"/>
    <w:rsid w:val="62F25628"/>
    <w:rsid w:val="637D23F7"/>
    <w:rsid w:val="63A95EFC"/>
    <w:rsid w:val="63BA3FBE"/>
    <w:rsid w:val="64207935"/>
    <w:rsid w:val="64941DED"/>
    <w:rsid w:val="64A37E01"/>
    <w:rsid w:val="64EC4792"/>
    <w:rsid w:val="65564F6B"/>
    <w:rsid w:val="65F86B78"/>
    <w:rsid w:val="660749EE"/>
    <w:rsid w:val="660D04B4"/>
    <w:rsid w:val="66FB37DD"/>
    <w:rsid w:val="67316513"/>
    <w:rsid w:val="674B7821"/>
    <w:rsid w:val="67AD26B0"/>
    <w:rsid w:val="67C82AC7"/>
    <w:rsid w:val="67CA0F65"/>
    <w:rsid w:val="67D04404"/>
    <w:rsid w:val="67DF4C9E"/>
    <w:rsid w:val="687D73A0"/>
    <w:rsid w:val="68E3489B"/>
    <w:rsid w:val="691F2381"/>
    <w:rsid w:val="694E402D"/>
    <w:rsid w:val="6A163F73"/>
    <w:rsid w:val="6B1C0D8F"/>
    <w:rsid w:val="6B515BC5"/>
    <w:rsid w:val="6B8056CF"/>
    <w:rsid w:val="6BD532FB"/>
    <w:rsid w:val="6C20426A"/>
    <w:rsid w:val="6C79A9D1"/>
    <w:rsid w:val="6DB41EF0"/>
    <w:rsid w:val="6DB665F8"/>
    <w:rsid w:val="6DFCF90B"/>
    <w:rsid w:val="6E4937B0"/>
    <w:rsid w:val="6F3812DC"/>
    <w:rsid w:val="6F652213"/>
    <w:rsid w:val="6F7E62F2"/>
    <w:rsid w:val="6FBB1039"/>
    <w:rsid w:val="6FBF4626"/>
    <w:rsid w:val="70020883"/>
    <w:rsid w:val="70286928"/>
    <w:rsid w:val="702D5DD3"/>
    <w:rsid w:val="715E07A9"/>
    <w:rsid w:val="716D4988"/>
    <w:rsid w:val="717F4E64"/>
    <w:rsid w:val="71931095"/>
    <w:rsid w:val="71BC1508"/>
    <w:rsid w:val="71C676F9"/>
    <w:rsid w:val="71C77BBF"/>
    <w:rsid w:val="727A2DD1"/>
    <w:rsid w:val="72952F79"/>
    <w:rsid w:val="72AA34F8"/>
    <w:rsid w:val="72D16F75"/>
    <w:rsid w:val="72F51C39"/>
    <w:rsid w:val="72F97671"/>
    <w:rsid w:val="731F7B4E"/>
    <w:rsid w:val="735020A2"/>
    <w:rsid w:val="74084B19"/>
    <w:rsid w:val="74BB1E9D"/>
    <w:rsid w:val="74F770C9"/>
    <w:rsid w:val="75871EF1"/>
    <w:rsid w:val="75C02D36"/>
    <w:rsid w:val="77046E6F"/>
    <w:rsid w:val="77142D52"/>
    <w:rsid w:val="775E27E6"/>
    <w:rsid w:val="776F86B6"/>
    <w:rsid w:val="77AF90F6"/>
    <w:rsid w:val="77FEDEF4"/>
    <w:rsid w:val="78945D09"/>
    <w:rsid w:val="78FC418C"/>
    <w:rsid w:val="79220195"/>
    <w:rsid w:val="79390A71"/>
    <w:rsid w:val="795A6476"/>
    <w:rsid w:val="79A0044A"/>
    <w:rsid w:val="79BE1507"/>
    <w:rsid w:val="79C53753"/>
    <w:rsid w:val="79FE4CB7"/>
    <w:rsid w:val="7A0505E9"/>
    <w:rsid w:val="7A2F25CD"/>
    <w:rsid w:val="7A3D34D5"/>
    <w:rsid w:val="7A560EBB"/>
    <w:rsid w:val="7AC62146"/>
    <w:rsid w:val="7BBBC155"/>
    <w:rsid w:val="7BF6F9C6"/>
    <w:rsid w:val="7BF8E001"/>
    <w:rsid w:val="7C571687"/>
    <w:rsid w:val="7C77C6EF"/>
    <w:rsid w:val="7C976C05"/>
    <w:rsid w:val="7CCB9C50"/>
    <w:rsid w:val="7CE00B87"/>
    <w:rsid w:val="7CFA11C4"/>
    <w:rsid w:val="7D972F6F"/>
    <w:rsid w:val="7D9E5252"/>
    <w:rsid w:val="7DFACD3A"/>
    <w:rsid w:val="7E1D1AC4"/>
    <w:rsid w:val="7E25E794"/>
    <w:rsid w:val="7EFB4C2F"/>
    <w:rsid w:val="7EFF634C"/>
    <w:rsid w:val="7F3B3771"/>
    <w:rsid w:val="7F3D6F0E"/>
    <w:rsid w:val="7F7EF00D"/>
    <w:rsid w:val="7F962C5B"/>
    <w:rsid w:val="7FA773F1"/>
    <w:rsid w:val="7FBF22C6"/>
    <w:rsid w:val="7FEFFDD4"/>
    <w:rsid w:val="7FFA083B"/>
    <w:rsid w:val="7FFD1F6A"/>
    <w:rsid w:val="7FFF17ED"/>
    <w:rsid w:val="8AEF2468"/>
    <w:rsid w:val="8EDD448F"/>
    <w:rsid w:val="9FFD0A71"/>
    <w:rsid w:val="A7F917EB"/>
    <w:rsid w:val="AA3DAC50"/>
    <w:rsid w:val="AADA730A"/>
    <w:rsid w:val="B373E1F3"/>
    <w:rsid w:val="BA77D0E6"/>
    <w:rsid w:val="BBFF3920"/>
    <w:rsid w:val="BF7FF229"/>
    <w:rsid w:val="BFFB2533"/>
    <w:rsid w:val="CD7FB1A3"/>
    <w:rsid w:val="D1FB724A"/>
    <w:rsid w:val="D57F7EF5"/>
    <w:rsid w:val="D9F70BEA"/>
    <w:rsid w:val="DCF37182"/>
    <w:rsid w:val="E1AD459D"/>
    <w:rsid w:val="E7FFA587"/>
    <w:rsid w:val="EBE8BA4F"/>
    <w:rsid w:val="EF727078"/>
    <w:rsid w:val="EFF79931"/>
    <w:rsid w:val="F57B652C"/>
    <w:rsid w:val="F7DF63F8"/>
    <w:rsid w:val="F7FFEBE9"/>
    <w:rsid w:val="FBFF2BC5"/>
    <w:rsid w:val="FC3F3233"/>
    <w:rsid w:val="FC9F7153"/>
    <w:rsid w:val="FDB3182E"/>
    <w:rsid w:val="FDFD6782"/>
    <w:rsid w:val="FE7A520B"/>
    <w:rsid w:val="FF7DA701"/>
    <w:rsid w:val="FF9D0886"/>
    <w:rsid w:val="FFAD2CD1"/>
    <w:rsid w:val="FFB755DB"/>
    <w:rsid w:val="FFEE7E0F"/>
    <w:rsid w:val="FFEFB9AF"/>
    <w:rsid w:val="FFFAE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link w:val="38"/>
    <w:semiHidden/>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39"/>
    <w:semiHidden/>
    <w:unhideWhenUsed/>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200"/>
    </w:pPr>
    <w:rPr>
      <w:rFonts w:ascii="Calibri" w:hAnsi="Calibri" w:eastAsia="楷体_GB2312" w:cs="Times New Roman"/>
      <w:lang w:bidi="ar-SA"/>
    </w:rPr>
  </w:style>
  <w:style w:type="paragraph" w:styleId="6">
    <w:name w:val="index 5"/>
    <w:basedOn w:val="1"/>
    <w:next w:val="1"/>
    <w:unhideWhenUsed/>
    <w:qFormat/>
    <w:uiPriority w:val="99"/>
    <w:pPr>
      <w:ind w:left="1680"/>
    </w:pPr>
  </w:style>
  <w:style w:type="paragraph" w:styleId="7">
    <w:name w:val="Document Map"/>
    <w:basedOn w:val="1"/>
    <w:link w:val="29"/>
    <w:qFormat/>
    <w:uiPriority w:val="0"/>
    <w:rPr>
      <w:rFonts w:ascii="宋体"/>
      <w:sz w:val="18"/>
      <w:szCs w:val="18"/>
    </w:rPr>
  </w:style>
  <w:style w:type="paragraph" w:styleId="8">
    <w:name w:val="Body Text 3"/>
    <w:basedOn w:val="1"/>
    <w:next w:val="9"/>
    <w:qFormat/>
    <w:uiPriority w:val="0"/>
    <w:pPr>
      <w:spacing w:after="120"/>
    </w:pPr>
    <w:rPr>
      <w:sz w:val="16"/>
      <w:szCs w:val="16"/>
    </w:rPr>
  </w:style>
  <w:style w:type="paragraph" w:styleId="9">
    <w:name w:val="Body Text"/>
    <w:basedOn w:val="1"/>
    <w:next w:val="1"/>
    <w:link w:val="42"/>
    <w:qFormat/>
    <w:uiPriority w:val="0"/>
    <w:pPr>
      <w:widowControl/>
      <w:spacing w:after="120"/>
      <w:jc w:val="left"/>
    </w:pPr>
    <w:rPr>
      <w:kern w:val="0"/>
      <w:sz w:val="24"/>
      <w:szCs w:val="24"/>
    </w:rPr>
  </w:style>
  <w:style w:type="paragraph" w:styleId="10">
    <w:name w:val="Body Text Indent"/>
    <w:basedOn w:val="1"/>
    <w:next w:val="1"/>
    <w:link w:val="28"/>
    <w:qFormat/>
    <w:uiPriority w:val="0"/>
    <w:pPr>
      <w:ind w:firstLine="645"/>
    </w:pPr>
    <w:rPr>
      <w:rFonts w:ascii="仿宋_GB2312" w:eastAsia="仿宋_GB2312"/>
      <w:sz w:val="32"/>
      <w:szCs w:val="24"/>
    </w:rPr>
  </w:style>
  <w:style w:type="paragraph" w:styleId="11">
    <w:name w:val="Date"/>
    <w:basedOn w:val="1"/>
    <w:next w:val="1"/>
    <w:link w:val="30"/>
    <w:qFormat/>
    <w:uiPriority w:val="0"/>
    <w:pPr>
      <w:ind w:left="100" w:leftChars="2500"/>
    </w:pPr>
  </w:style>
  <w:style w:type="paragraph" w:styleId="12">
    <w:name w:val="Balloon Text"/>
    <w:basedOn w:val="1"/>
    <w:link w:val="32"/>
    <w:qFormat/>
    <w:uiPriority w:val="0"/>
    <w:rPr>
      <w:sz w:val="18"/>
      <w:szCs w:val="18"/>
    </w:rPr>
  </w:style>
  <w:style w:type="paragraph" w:styleId="13">
    <w:name w:val="footer"/>
    <w:basedOn w:val="1"/>
    <w:link w:val="36"/>
    <w:qFormat/>
    <w:uiPriority w:val="99"/>
    <w:pPr>
      <w:tabs>
        <w:tab w:val="center" w:pos="4153"/>
        <w:tab w:val="right" w:pos="8306"/>
      </w:tabs>
      <w:snapToGrid w:val="0"/>
      <w:jc w:val="left"/>
    </w:pPr>
    <w:rPr>
      <w:sz w:val="18"/>
      <w:szCs w:val="18"/>
    </w:rPr>
  </w:style>
  <w:style w:type="paragraph" w:styleId="14">
    <w:name w:val="header"/>
    <w:basedOn w:val="1"/>
    <w:next w:val="1"/>
    <w:link w:val="31"/>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0"/>
    <w:pPr>
      <w:spacing w:beforeAutospacing="1" w:afterAutospacing="1"/>
      <w:jc w:val="left"/>
    </w:pPr>
    <w:rPr>
      <w:kern w:val="0"/>
      <w:sz w:val="24"/>
    </w:rPr>
  </w:style>
  <w:style w:type="paragraph" w:styleId="16">
    <w:name w:val="Body Text First Indent 2"/>
    <w:basedOn w:val="10"/>
    <w:next w:val="1"/>
    <w:qFormat/>
    <w:uiPriority w:val="0"/>
    <w:pPr>
      <w:ind w:firstLine="420"/>
    </w:pPr>
    <w:rPr>
      <w:rFonts w:ascii="Calibri" w:hAnsi="Calibri" w:eastAsia="宋体" w:cs="Times New Roman"/>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qFormat/>
    <w:uiPriority w:val="0"/>
  </w:style>
  <w:style w:type="character" w:styleId="22">
    <w:name w:val="Emphasis"/>
    <w:basedOn w:val="19"/>
    <w:qFormat/>
    <w:uiPriority w:val="0"/>
    <w:rPr>
      <w:i/>
    </w:rPr>
  </w:style>
  <w:style w:type="character" w:styleId="23">
    <w:name w:val="Hyperlink"/>
    <w:qFormat/>
    <w:uiPriority w:val="0"/>
    <w:rPr>
      <w:color w:val="0000FF"/>
      <w:u w:val="single"/>
    </w:rPr>
  </w:style>
  <w:style w:type="paragraph" w:customStyle="1" w:styleId="24">
    <w:name w:val="正文文本 21"/>
    <w:qFormat/>
    <w:uiPriority w:val="0"/>
    <w:pPr>
      <w:widowControl w:val="0"/>
      <w:spacing w:after="120" w:line="480" w:lineRule="auto"/>
      <w:ind w:firstLine="420" w:firstLineChars="200"/>
      <w:jc w:val="both"/>
    </w:pPr>
    <w:rPr>
      <w:rFonts w:ascii="Calibri" w:hAnsi="Calibri" w:eastAsia="仿宋" w:cs="Times New Roman"/>
      <w:color w:val="000000"/>
      <w:kern w:val="2"/>
      <w:sz w:val="21"/>
      <w:szCs w:val="30"/>
      <w:lang w:val="en-US" w:eastAsia="zh-CN" w:bidi="ar-SA"/>
    </w:rPr>
  </w:style>
  <w:style w:type="paragraph" w:customStyle="1" w:styleId="25">
    <w:name w:val="BodyText3"/>
    <w:basedOn w:val="1"/>
    <w:qFormat/>
    <w:uiPriority w:val="0"/>
    <w:pPr>
      <w:spacing w:after="120"/>
      <w:jc w:val="both"/>
      <w:textAlignment w:val="baseline"/>
    </w:pPr>
    <w:rPr>
      <w:rFonts w:ascii="宋体" w:hAnsi="宋体" w:eastAsia="宋体"/>
      <w:b/>
      <w:kern w:val="2"/>
      <w:sz w:val="16"/>
      <w:szCs w:val="16"/>
      <w:lang w:val="en-US" w:eastAsia="en-US" w:bidi="ar-SA"/>
    </w:rPr>
  </w:style>
  <w:style w:type="paragraph" w:customStyle="1" w:styleId="26">
    <w:name w:val="正文首行缩进 21"/>
    <w:basedOn w:val="27"/>
    <w:qFormat/>
    <w:uiPriority w:val="0"/>
    <w:pPr>
      <w:ind w:left="0" w:firstLine="420" w:firstLineChars="200"/>
    </w:pPr>
    <w:rPr>
      <w:rFonts w:ascii="Times New Roman" w:hAnsi="Times New Roman" w:eastAsia="宋体" w:cs="Times New Roman"/>
    </w:rPr>
  </w:style>
  <w:style w:type="paragraph" w:customStyle="1" w:styleId="27">
    <w:name w:val="正文文本缩进1"/>
    <w:basedOn w:val="1"/>
    <w:qFormat/>
    <w:uiPriority w:val="0"/>
    <w:pPr>
      <w:spacing w:after="120"/>
      <w:ind w:left="420" w:leftChars="200"/>
    </w:pPr>
    <w:rPr>
      <w:rFonts w:ascii="Times New Roman" w:hAnsi="Times New Roman" w:eastAsia="宋体" w:cs="Times New Roman"/>
    </w:rPr>
  </w:style>
  <w:style w:type="character" w:customStyle="1" w:styleId="28">
    <w:name w:val="正文文本缩进 Char"/>
    <w:link w:val="10"/>
    <w:qFormat/>
    <w:uiPriority w:val="0"/>
    <w:rPr>
      <w:rFonts w:ascii="仿宋_GB2312" w:eastAsia="仿宋_GB2312"/>
      <w:kern w:val="2"/>
      <w:sz w:val="32"/>
      <w:szCs w:val="24"/>
    </w:rPr>
  </w:style>
  <w:style w:type="character" w:customStyle="1" w:styleId="29">
    <w:name w:val="文档结构图 Char"/>
    <w:link w:val="7"/>
    <w:qFormat/>
    <w:uiPriority w:val="0"/>
    <w:rPr>
      <w:rFonts w:ascii="宋体" w:hAnsi="Calibri" w:cs="Times New Roman"/>
      <w:kern w:val="2"/>
      <w:sz w:val="18"/>
      <w:szCs w:val="18"/>
    </w:rPr>
  </w:style>
  <w:style w:type="character" w:customStyle="1" w:styleId="30">
    <w:name w:val="日期 Char"/>
    <w:link w:val="11"/>
    <w:qFormat/>
    <w:uiPriority w:val="0"/>
    <w:rPr>
      <w:rFonts w:ascii="Calibri" w:hAnsi="Calibri"/>
      <w:kern w:val="2"/>
      <w:sz w:val="21"/>
      <w:szCs w:val="22"/>
    </w:rPr>
  </w:style>
  <w:style w:type="character" w:customStyle="1" w:styleId="31">
    <w:name w:val="页眉 Char"/>
    <w:link w:val="14"/>
    <w:qFormat/>
    <w:uiPriority w:val="0"/>
    <w:rPr>
      <w:rFonts w:ascii="Calibri" w:hAnsi="Calibri" w:eastAsia="宋体" w:cs="Times New Roman"/>
      <w:kern w:val="2"/>
      <w:sz w:val="18"/>
      <w:szCs w:val="18"/>
    </w:rPr>
  </w:style>
  <w:style w:type="character" w:customStyle="1" w:styleId="32">
    <w:name w:val="批注框文本 Char"/>
    <w:link w:val="12"/>
    <w:qFormat/>
    <w:uiPriority w:val="0"/>
    <w:rPr>
      <w:rFonts w:ascii="Calibri" w:hAnsi="Calibri" w:eastAsia="宋体" w:cs="Times New Roman"/>
      <w:kern w:val="2"/>
      <w:sz w:val="18"/>
      <w:szCs w:val="18"/>
    </w:rPr>
  </w:style>
  <w:style w:type="paragraph" w:customStyle="1" w:styleId="33">
    <w:name w:val="普通(网站)1"/>
    <w:basedOn w:val="1"/>
    <w:qFormat/>
    <w:uiPriority w:val="0"/>
    <w:pPr>
      <w:widowControl/>
      <w:spacing w:beforeAutospacing="1" w:afterAutospacing="1"/>
      <w:jc w:val="left"/>
    </w:pPr>
    <w:rPr>
      <w:rFonts w:ascii="宋体" w:hAnsi="宋体" w:cs="宋体"/>
      <w:kern w:val="0"/>
      <w:sz w:val="24"/>
      <w:szCs w:val="24"/>
    </w:rPr>
  </w:style>
  <w:style w:type="paragraph" w:styleId="34">
    <w:name w:val="List Paragraph"/>
    <w:basedOn w:val="1"/>
    <w:qFormat/>
    <w:uiPriority w:val="34"/>
    <w:pPr>
      <w:ind w:firstLine="420" w:firstLineChars="200"/>
    </w:pPr>
  </w:style>
  <w:style w:type="paragraph" w:customStyle="1" w:styleId="35">
    <w:name w:val="普通(网站)2"/>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36">
    <w:name w:val="页脚 Char"/>
    <w:link w:val="13"/>
    <w:qFormat/>
    <w:uiPriority w:val="99"/>
    <w:rPr>
      <w:kern w:val="2"/>
      <w:sz w:val="18"/>
      <w:szCs w:val="18"/>
    </w:rPr>
  </w:style>
  <w:style w:type="paragraph" w:customStyle="1" w:styleId="37">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38">
    <w:name w:val="标题 2 Char"/>
    <w:basedOn w:val="19"/>
    <w:link w:val="3"/>
    <w:semiHidden/>
    <w:qFormat/>
    <w:uiPriority w:val="0"/>
    <w:rPr>
      <w:rFonts w:ascii="Cambria" w:hAnsi="Cambria" w:eastAsia="宋体" w:cs="Times New Roman"/>
      <w:b/>
      <w:bCs/>
      <w:kern w:val="2"/>
      <w:sz w:val="32"/>
      <w:szCs w:val="32"/>
    </w:rPr>
  </w:style>
  <w:style w:type="character" w:customStyle="1" w:styleId="39">
    <w:name w:val="标题 3 Char"/>
    <w:basedOn w:val="19"/>
    <w:link w:val="4"/>
    <w:semiHidden/>
    <w:qFormat/>
    <w:uiPriority w:val="0"/>
    <w:rPr>
      <w:b/>
      <w:bCs/>
      <w:kern w:val="2"/>
      <w:sz w:val="32"/>
      <w:szCs w:val="32"/>
    </w:rPr>
  </w:style>
  <w:style w:type="paragraph" w:styleId="40">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1">
    <w:name w:val="_Style 6"/>
    <w:basedOn w:val="1"/>
    <w:qFormat/>
    <w:uiPriority w:val="0"/>
    <w:pPr>
      <w:autoSpaceDE w:val="0"/>
      <w:autoSpaceDN w:val="0"/>
    </w:pPr>
    <w:rPr>
      <w:rFonts w:ascii="Tahoma" w:hAnsi="Tahoma"/>
      <w:sz w:val="24"/>
      <w:szCs w:val="20"/>
    </w:rPr>
  </w:style>
  <w:style w:type="character" w:customStyle="1" w:styleId="42">
    <w:name w:val="正文文本 Char"/>
    <w:basedOn w:val="19"/>
    <w:link w:val="9"/>
    <w:qFormat/>
    <w:uiPriority w:val="0"/>
    <w:rPr>
      <w:sz w:val="24"/>
      <w:szCs w:val="24"/>
    </w:rPr>
  </w:style>
  <w:style w:type="paragraph" w:customStyle="1" w:styleId="43">
    <w:name w:val="BodyText"/>
    <w:basedOn w:val="1"/>
    <w:next w:val="13"/>
    <w:qFormat/>
    <w:uiPriority w:val="0"/>
    <w:pPr>
      <w:spacing w:after="120" w:line="640" w:lineRule="exact"/>
      <w:ind w:firstLine="960" w:firstLineChars="200"/>
    </w:pPr>
  </w:style>
  <w:style w:type="character" w:customStyle="1" w:styleId="44">
    <w:name w:val="NormalCharacter"/>
    <w:link w:val="45"/>
    <w:qFormat/>
    <w:uiPriority w:val="0"/>
    <w:rPr>
      <w:rFonts w:ascii="Calibri" w:hAnsi="Calibri" w:eastAsia="宋体" w:cs="Times New Roman"/>
      <w:kern w:val="2"/>
      <w:sz w:val="21"/>
      <w:szCs w:val="22"/>
      <w:lang w:val="en-US" w:eastAsia="zh-CN" w:bidi="ar-SA"/>
    </w:rPr>
  </w:style>
  <w:style w:type="paragraph" w:customStyle="1" w:styleId="45">
    <w:name w:val="UserStyle_0"/>
    <w:link w:val="44"/>
    <w:qFormat/>
    <w:uiPriority w:val="0"/>
    <w:pPr>
      <w:ind w:firstLine="420" w:firstLineChars="200"/>
      <w:jc w:val="both"/>
      <w:textAlignment w:val="baseline"/>
    </w:pPr>
    <w:rPr>
      <w:rFonts w:ascii="Calibri" w:hAnsi="Calibri" w:eastAsia="宋体" w:cs="Times New Roman"/>
      <w:kern w:val="2"/>
      <w:sz w:val="21"/>
      <w:szCs w:val="22"/>
      <w:lang w:val="en-US" w:eastAsia="zh-CN" w:bidi="ar-SA"/>
    </w:rPr>
  </w:style>
  <w:style w:type="paragraph" w:customStyle="1" w:styleId="46">
    <w:name w:val="BodyText1I2"/>
    <w:basedOn w:val="47"/>
    <w:next w:val="1"/>
    <w:qFormat/>
    <w:uiPriority w:val="0"/>
    <w:pPr>
      <w:ind w:firstLine="420" w:firstLineChars="200"/>
      <w:jc w:val="both"/>
      <w:textAlignment w:val="baseline"/>
    </w:pPr>
  </w:style>
  <w:style w:type="paragraph" w:customStyle="1" w:styleId="47">
    <w:name w:val="BodyTextIndent"/>
    <w:basedOn w:val="1"/>
    <w:next w:val="14"/>
    <w:qFormat/>
    <w:uiPriority w:val="0"/>
    <w:pPr>
      <w:ind w:firstLine="645"/>
      <w:jc w:val="both"/>
      <w:textAlignment w:val="baseline"/>
    </w:pPr>
    <w:rPr>
      <w:rFonts w:ascii="仿宋_GB2312" w:hAnsi="Times New Roman" w:eastAsia="仿宋_GB2312" w:cs="Times New Roman"/>
      <w:kern w:val="2"/>
      <w:sz w:val="32"/>
      <w:szCs w:val="24"/>
      <w:lang w:val="en-US" w:eastAsia="zh-CN" w:bidi="ar-SA"/>
    </w:rPr>
  </w:style>
  <w:style w:type="paragraph" w:customStyle="1" w:styleId="48">
    <w:name w:val="正文 A"/>
    <w:qFormat/>
    <w:uiPriority w:val="99"/>
    <w:pPr>
      <w:widowControl w:val="0"/>
      <w:jc w:val="both"/>
    </w:pPr>
    <w:rPr>
      <w:rFonts w:ascii="Calibri" w:hAnsi="Calibri" w:eastAsia="宋体" w:cs="Calibri"/>
      <w:color w:val="000000"/>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19</Pages>
  <Words>22185</Words>
  <Characters>23015</Characters>
  <Lines>167</Lines>
  <Paragraphs>47</Paragraphs>
  <TotalTime>6</TotalTime>
  <ScaleCrop>false</ScaleCrop>
  <LinksUpToDate>false</LinksUpToDate>
  <CharactersWithSpaces>23110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2022-04-15T09:54:00Z</dcterms:created>
  <dc:creator>lenovo</dc:creator>
  <cp:lastModifiedBy>王玲</cp:lastModifiedBy>
  <cp:lastPrinted>2025-10-28T13:20:00Z</cp:lastPrinted>
  <dcterms:modified xsi:type="dcterms:W3CDTF">2025-10-30T02:44:12Z</dcterms:modified>
  <cp:revision>227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eyJoZGlkIjoiZGFiYTQ4Mjk5NDkzOTgxMmZlN2I4MDZiOGQ1YmNmNmMiLCJ1c2VySWQiOiIzNTU0MDQxMDEifQ==</vt:lpwstr>
  </property>
  <property fmtid="{D5CDD505-2E9C-101B-9397-08002B2CF9AE}" pid="4" name="ICV">
    <vt:lpwstr>B617E493410142AE8F20E9B3AF32C775_13</vt:lpwstr>
  </property>
</Properties>
</file>