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166" w:rsidRDefault="007B4166" w:rsidP="007B4166">
      <w:pPr>
        <w:snapToGrid w:val="0"/>
        <w:spacing w:line="520" w:lineRule="exact"/>
        <w:ind w:firstLineChars="50" w:firstLine="160"/>
        <w:rPr>
          <w:rFonts w:ascii="黑体" w:eastAsia="黑体" w:hAnsi="黑体" w:cs="黑体"/>
          <w:sz w:val="32"/>
          <w:szCs w:val="32"/>
        </w:rPr>
      </w:pPr>
      <w:r>
        <w:rPr>
          <w:rFonts w:ascii="黑体" w:eastAsia="黑体" w:hAnsi="黑体" w:cs="黑体" w:hint="eastAsia"/>
          <w:sz w:val="32"/>
          <w:szCs w:val="32"/>
        </w:rPr>
        <w:t>附件2</w:t>
      </w:r>
    </w:p>
    <w:p w:rsidR="007B4166" w:rsidRDefault="007B4166" w:rsidP="007B4166">
      <w:pPr>
        <w:snapToGrid w:val="0"/>
        <w:spacing w:line="520" w:lineRule="exact"/>
        <w:jc w:val="center"/>
      </w:pPr>
      <w:r>
        <w:rPr>
          <w:rFonts w:ascii="方正小标宋简体" w:eastAsia="方正小标宋简体" w:hAnsi="宋体" w:cs="宋体" w:hint="eastAsia"/>
          <w:kern w:val="0"/>
          <w:sz w:val="44"/>
          <w:szCs w:val="44"/>
        </w:rPr>
        <w:t>安康市开展“证照分离”改革试点具体事项表(市县级行政许可事项)</w:t>
      </w:r>
    </w:p>
    <w:tbl>
      <w:tblPr>
        <w:tblpPr w:leftFromText="180" w:rightFromText="180" w:vertAnchor="page" w:horzAnchor="margin" w:tblpXSpec="center" w:tblpY="3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
        <w:gridCol w:w="2400"/>
        <w:gridCol w:w="4213"/>
        <w:gridCol w:w="1325"/>
        <w:gridCol w:w="900"/>
        <w:gridCol w:w="887"/>
        <w:gridCol w:w="1038"/>
        <w:gridCol w:w="1200"/>
        <w:gridCol w:w="801"/>
        <w:gridCol w:w="765"/>
      </w:tblGrid>
      <w:tr w:rsidR="007B4166" w:rsidTr="00B92B81">
        <w:trPr>
          <w:trHeight w:val="290"/>
        </w:trPr>
        <w:tc>
          <w:tcPr>
            <w:tcW w:w="638" w:type="dxa"/>
            <w:vMerge w:val="restart"/>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序号</w:t>
            </w:r>
          </w:p>
        </w:tc>
        <w:tc>
          <w:tcPr>
            <w:tcW w:w="2400" w:type="dxa"/>
            <w:vMerge w:val="restart"/>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事项名称</w:t>
            </w:r>
          </w:p>
        </w:tc>
        <w:tc>
          <w:tcPr>
            <w:tcW w:w="4213" w:type="dxa"/>
            <w:vMerge w:val="restart"/>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设定依据</w:t>
            </w:r>
          </w:p>
        </w:tc>
        <w:tc>
          <w:tcPr>
            <w:tcW w:w="1325" w:type="dxa"/>
            <w:vMerge w:val="restart"/>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实施机关</w:t>
            </w:r>
          </w:p>
        </w:tc>
        <w:tc>
          <w:tcPr>
            <w:tcW w:w="4826" w:type="dxa"/>
            <w:gridSpan w:val="5"/>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改革方式</w:t>
            </w:r>
          </w:p>
        </w:tc>
        <w:tc>
          <w:tcPr>
            <w:tcW w:w="765" w:type="dxa"/>
            <w:vMerge w:val="restart"/>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备注</w:t>
            </w:r>
          </w:p>
        </w:tc>
      </w:tr>
      <w:tr w:rsidR="007B4166" w:rsidTr="00B92B81">
        <w:trPr>
          <w:trHeight w:val="290"/>
        </w:trPr>
        <w:tc>
          <w:tcPr>
            <w:tcW w:w="638" w:type="dxa"/>
            <w:vMerge/>
            <w:vAlign w:val="center"/>
          </w:tcPr>
          <w:p w:rsidR="007B4166" w:rsidRDefault="007B4166" w:rsidP="00B92B81">
            <w:pPr>
              <w:widowControl/>
              <w:jc w:val="left"/>
              <w:rPr>
                <w:rFonts w:ascii="宋体" w:cs="宋体"/>
                <w:kern w:val="0"/>
                <w:sz w:val="24"/>
              </w:rPr>
            </w:pPr>
          </w:p>
        </w:tc>
        <w:tc>
          <w:tcPr>
            <w:tcW w:w="2400" w:type="dxa"/>
            <w:vMerge/>
            <w:vAlign w:val="center"/>
          </w:tcPr>
          <w:p w:rsidR="007B4166" w:rsidRDefault="007B4166" w:rsidP="00B92B81">
            <w:pPr>
              <w:widowControl/>
              <w:jc w:val="left"/>
              <w:rPr>
                <w:rFonts w:ascii="宋体" w:cs="宋体"/>
                <w:kern w:val="0"/>
                <w:sz w:val="24"/>
              </w:rPr>
            </w:pPr>
          </w:p>
        </w:tc>
        <w:tc>
          <w:tcPr>
            <w:tcW w:w="4213" w:type="dxa"/>
            <w:vMerge/>
            <w:vAlign w:val="center"/>
          </w:tcPr>
          <w:p w:rsidR="007B4166" w:rsidRDefault="007B4166" w:rsidP="00B92B81">
            <w:pPr>
              <w:widowControl/>
              <w:jc w:val="left"/>
              <w:rPr>
                <w:rFonts w:ascii="宋体" w:cs="宋体"/>
                <w:kern w:val="0"/>
                <w:sz w:val="24"/>
              </w:rPr>
            </w:pPr>
          </w:p>
        </w:tc>
        <w:tc>
          <w:tcPr>
            <w:tcW w:w="1325" w:type="dxa"/>
            <w:vMerge/>
            <w:vAlign w:val="center"/>
          </w:tcPr>
          <w:p w:rsidR="007B4166" w:rsidRDefault="007B4166" w:rsidP="00B92B81">
            <w:pPr>
              <w:widowControl/>
              <w:jc w:val="center"/>
              <w:rPr>
                <w:rFonts w:ascii="宋体" w:cs="宋体"/>
                <w:kern w:val="0"/>
                <w:sz w:val="24"/>
              </w:rPr>
            </w:pPr>
          </w:p>
        </w:tc>
        <w:tc>
          <w:tcPr>
            <w:tcW w:w="1787" w:type="dxa"/>
            <w:gridSpan w:val="2"/>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取消审批</w:t>
            </w:r>
          </w:p>
        </w:tc>
        <w:tc>
          <w:tcPr>
            <w:tcW w:w="3039" w:type="dxa"/>
            <w:gridSpan w:val="3"/>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保留审</w:t>
            </w:r>
            <w:proofErr w:type="gramStart"/>
            <w:r>
              <w:rPr>
                <w:rFonts w:ascii="黑体" w:eastAsia="黑体" w:hAnsi="黑体" w:cs="黑体" w:hint="eastAsia"/>
                <w:kern w:val="0"/>
                <w:sz w:val="24"/>
              </w:rPr>
              <w:t>仳</w:t>
            </w:r>
            <w:proofErr w:type="gramEnd"/>
          </w:p>
        </w:tc>
        <w:tc>
          <w:tcPr>
            <w:tcW w:w="765" w:type="dxa"/>
            <w:vMerge/>
            <w:vAlign w:val="center"/>
          </w:tcPr>
          <w:p w:rsidR="007B4166" w:rsidRDefault="007B4166" w:rsidP="00B92B81">
            <w:pPr>
              <w:widowControl/>
              <w:jc w:val="center"/>
              <w:rPr>
                <w:rFonts w:ascii="宋体" w:cs="宋体"/>
                <w:kern w:val="0"/>
                <w:sz w:val="24"/>
              </w:rPr>
            </w:pPr>
          </w:p>
        </w:tc>
      </w:tr>
      <w:tr w:rsidR="007B4166" w:rsidTr="00B92B81">
        <w:trPr>
          <w:trHeight w:val="871"/>
        </w:trPr>
        <w:tc>
          <w:tcPr>
            <w:tcW w:w="638" w:type="dxa"/>
            <w:vMerge/>
            <w:vAlign w:val="center"/>
          </w:tcPr>
          <w:p w:rsidR="007B4166" w:rsidRDefault="007B4166" w:rsidP="00B92B81">
            <w:pPr>
              <w:widowControl/>
              <w:jc w:val="left"/>
              <w:rPr>
                <w:rFonts w:ascii="宋体" w:cs="宋体"/>
                <w:kern w:val="0"/>
                <w:sz w:val="24"/>
              </w:rPr>
            </w:pPr>
          </w:p>
        </w:tc>
        <w:tc>
          <w:tcPr>
            <w:tcW w:w="2400" w:type="dxa"/>
            <w:vMerge/>
            <w:vAlign w:val="center"/>
          </w:tcPr>
          <w:p w:rsidR="007B4166" w:rsidRDefault="007B4166" w:rsidP="00B92B81">
            <w:pPr>
              <w:widowControl/>
              <w:jc w:val="left"/>
              <w:rPr>
                <w:rFonts w:ascii="宋体" w:cs="宋体"/>
                <w:kern w:val="0"/>
                <w:sz w:val="24"/>
              </w:rPr>
            </w:pPr>
          </w:p>
        </w:tc>
        <w:tc>
          <w:tcPr>
            <w:tcW w:w="4213" w:type="dxa"/>
            <w:vMerge/>
            <w:vAlign w:val="center"/>
          </w:tcPr>
          <w:p w:rsidR="007B4166" w:rsidRDefault="007B4166" w:rsidP="00B92B81">
            <w:pPr>
              <w:widowControl/>
              <w:jc w:val="left"/>
              <w:rPr>
                <w:rFonts w:ascii="宋体" w:cs="宋体"/>
                <w:kern w:val="0"/>
                <w:sz w:val="24"/>
              </w:rPr>
            </w:pPr>
          </w:p>
        </w:tc>
        <w:tc>
          <w:tcPr>
            <w:tcW w:w="1325" w:type="dxa"/>
            <w:vMerge/>
            <w:vAlign w:val="center"/>
          </w:tcPr>
          <w:p w:rsidR="007B4166" w:rsidRDefault="007B4166" w:rsidP="00B92B81">
            <w:pPr>
              <w:widowControl/>
              <w:jc w:val="center"/>
              <w:rPr>
                <w:rFonts w:ascii="宋体" w:cs="宋体"/>
                <w:kern w:val="0"/>
                <w:sz w:val="24"/>
              </w:rPr>
            </w:pPr>
          </w:p>
        </w:tc>
        <w:tc>
          <w:tcPr>
            <w:tcW w:w="900" w:type="dxa"/>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完全取消审批</w:t>
            </w:r>
          </w:p>
        </w:tc>
        <w:tc>
          <w:tcPr>
            <w:tcW w:w="887" w:type="dxa"/>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审批改为备案</w:t>
            </w:r>
          </w:p>
        </w:tc>
        <w:tc>
          <w:tcPr>
            <w:tcW w:w="1038" w:type="dxa"/>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全面实行告知承诺制</w:t>
            </w:r>
          </w:p>
        </w:tc>
        <w:tc>
          <w:tcPr>
            <w:tcW w:w="1200" w:type="dxa"/>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提高透明度和</w:t>
            </w:r>
            <w:proofErr w:type="gramStart"/>
            <w:r>
              <w:rPr>
                <w:rFonts w:ascii="黑体" w:eastAsia="黑体" w:hAnsi="黑体" w:cs="黑体" w:hint="eastAsia"/>
                <w:kern w:val="0"/>
                <w:sz w:val="24"/>
              </w:rPr>
              <w:t>可</w:t>
            </w:r>
            <w:proofErr w:type="gramEnd"/>
            <w:r>
              <w:rPr>
                <w:rFonts w:ascii="黑体" w:eastAsia="黑体" w:hAnsi="黑体" w:cs="黑体" w:hint="eastAsia"/>
                <w:kern w:val="0"/>
                <w:sz w:val="24"/>
              </w:rPr>
              <w:t>预期性</w:t>
            </w:r>
          </w:p>
        </w:tc>
        <w:tc>
          <w:tcPr>
            <w:tcW w:w="801" w:type="dxa"/>
            <w:vAlign w:val="center"/>
          </w:tcPr>
          <w:p w:rsidR="007B4166" w:rsidRDefault="007B4166" w:rsidP="00B92B81">
            <w:pPr>
              <w:widowControl/>
              <w:jc w:val="center"/>
              <w:rPr>
                <w:rFonts w:ascii="宋体" w:cs="宋体"/>
                <w:kern w:val="0"/>
                <w:sz w:val="24"/>
              </w:rPr>
            </w:pPr>
            <w:r>
              <w:rPr>
                <w:rFonts w:ascii="黑体" w:eastAsia="黑体" w:hAnsi="黑体" w:cs="黑体" w:hint="eastAsia"/>
                <w:kern w:val="0"/>
                <w:sz w:val="24"/>
              </w:rPr>
              <w:t>强化准入监管</w:t>
            </w:r>
          </w:p>
        </w:tc>
        <w:tc>
          <w:tcPr>
            <w:tcW w:w="765" w:type="dxa"/>
            <w:vMerge/>
            <w:vAlign w:val="center"/>
          </w:tcPr>
          <w:p w:rsidR="007B4166" w:rsidRDefault="007B4166" w:rsidP="00B92B81">
            <w:pPr>
              <w:widowControl/>
              <w:jc w:val="center"/>
              <w:rPr>
                <w:rFonts w:ascii="宋体" w:cs="宋体"/>
                <w:kern w:val="0"/>
                <w:sz w:val="24"/>
              </w:rPr>
            </w:pPr>
          </w:p>
        </w:tc>
      </w:tr>
      <w:tr w:rsidR="007B4166" w:rsidTr="00B92B81">
        <w:trPr>
          <w:trHeight w:val="2689"/>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设立从事包装装潢印刷品和其他印刷品印刷经营活动的企业审批（不含商标、票据、保密印刷）</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《印刷业管理条例》（国务院令第315号公布，第666号、第676号修订）</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《出版管理条例》（国务院令第343号公布，第594号、第638号、第653号、第666号修订）</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《国务院关于第六批取消和调整行政审批项目的决定》（国发〔2012〕52号）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《陕西省人民政府关于取消和下放一批行政审批项目的决定》（</w:t>
            </w:r>
            <w:proofErr w:type="gramStart"/>
            <w:r>
              <w:rPr>
                <w:rFonts w:ascii="仿宋_GB2312" w:eastAsia="仿宋_GB2312" w:hAnsi="仿宋_GB2312" w:cs="仿宋_GB2312" w:hint="eastAsia"/>
                <w:kern w:val="0"/>
                <w:szCs w:val="21"/>
              </w:rPr>
              <w:t>陕政发</w:t>
            </w:r>
            <w:proofErr w:type="gramEnd"/>
            <w:r>
              <w:rPr>
                <w:rFonts w:ascii="仿宋_GB2312" w:eastAsia="仿宋_GB2312" w:hAnsi="仿宋_GB2312" w:cs="仿宋_GB2312" w:hint="eastAsia"/>
                <w:kern w:val="0"/>
                <w:szCs w:val="21"/>
              </w:rPr>
              <w:t>〔2014〕6号）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市级新闻出版广电行政部门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2244"/>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印刷业经营者兼营包装装潢印刷品和其他印刷品印刷经营活动的审批（不含商标、票据、保密印刷）</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《印刷业管理条例》（国务院令第315号公布，第666号、第676号修订）</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《出版管理条例》（国务院令第343号公布）</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《国务院关于第六批取消和调整行政审批项目的决定》（国发〔2012〕52号）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《陕西省人民政府关于取消和下放一批行政审批项目的决定》（</w:t>
            </w:r>
            <w:proofErr w:type="gramStart"/>
            <w:r>
              <w:rPr>
                <w:rFonts w:ascii="仿宋_GB2312" w:eastAsia="仿宋_GB2312" w:hAnsi="仿宋_GB2312" w:cs="仿宋_GB2312" w:hint="eastAsia"/>
                <w:kern w:val="0"/>
                <w:szCs w:val="21"/>
              </w:rPr>
              <w:t>陕政发</w:t>
            </w:r>
            <w:proofErr w:type="gramEnd"/>
            <w:r>
              <w:rPr>
                <w:rFonts w:ascii="仿宋_GB2312" w:eastAsia="仿宋_GB2312" w:hAnsi="仿宋_GB2312" w:cs="仿宋_GB2312" w:hint="eastAsia"/>
                <w:kern w:val="0"/>
                <w:szCs w:val="21"/>
              </w:rPr>
              <w:t>〔2014〕6号）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市级新闻出版广电行政部门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1723"/>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lastRenderedPageBreak/>
              <w:t>3</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从事生活垃圾经营性清扫、收集、运输、处理服务审批</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《国务院对确需保留的行政审批项目设定行政许可的决定》（国务院令第412号）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《城市生活垃圾管理办法》（建设部令第157号发布，住房和城乡建设部令第24号修订）</w:t>
            </w:r>
          </w:p>
        </w:tc>
        <w:tc>
          <w:tcPr>
            <w:tcW w:w="1325" w:type="dxa"/>
            <w:vAlign w:val="center"/>
          </w:tcPr>
          <w:p w:rsidR="007B4166" w:rsidRDefault="007B4166" w:rsidP="00B92B81">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所在城市的市人民政府市容环境卫生行政管理部门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2142"/>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4</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旅行社业务经营许可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《中华人民共和国旅游法》</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《旅行社条例》（国务院令第550号）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《陕西省人民政府关于取消和下放41项行政审批项目的决定》（</w:t>
            </w:r>
            <w:proofErr w:type="gramStart"/>
            <w:r>
              <w:rPr>
                <w:rFonts w:ascii="仿宋_GB2312" w:eastAsia="仿宋_GB2312" w:hAnsi="仿宋_GB2312" w:cs="仿宋_GB2312" w:hint="eastAsia"/>
                <w:kern w:val="0"/>
                <w:szCs w:val="21"/>
              </w:rPr>
              <w:t>陕政发</w:t>
            </w:r>
            <w:proofErr w:type="gramEnd"/>
            <w:r>
              <w:rPr>
                <w:rFonts w:ascii="仿宋_GB2312" w:eastAsia="仿宋_GB2312" w:hAnsi="仿宋_GB2312" w:cs="仿宋_GB2312" w:hint="eastAsia"/>
                <w:kern w:val="0"/>
                <w:szCs w:val="21"/>
              </w:rPr>
              <w:t>〔2014〕13号）《陕西省人民政府关于取消和调整一批行政审批项目的决定》（</w:t>
            </w:r>
            <w:proofErr w:type="gramStart"/>
            <w:r>
              <w:rPr>
                <w:rFonts w:ascii="仿宋_GB2312" w:eastAsia="仿宋_GB2312" w:hAnsi="仿宋_GB2312" w:cs="仿宋_GB2312" w:hint="eastAsia"/>
                <w:kern w:val="0"/>
                <w:szCs w:val="21"/>
              </w:rPr>
              <w:t>陕政发</w:t>
            </w:r>
            <w:proofErr w:type="gramEnd"/>
            <w:r>
              <w:rPr>
                <w:rFonts w:ascii="仿宋_GB2312" w:eastAsia="仿宋_GB2312" w:hAnsi="仿宋_GB2312" w:cs="仿宋_GB2312" w:hint="eastAsia"/>
                <w:kern w:val="0"/>
                <w:szCs w:val="21"/>
              </w:rPr>
              <w:t>〔2015〕6号）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市级旅游行政主管部门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2116"/>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5</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中介机构从事会计代理记账业务审批</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《中华人民共和国会计法》</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《代理记账管理办法》（财政部令第80号）《国务院关于取消和下放一批行政审批项目的决定》（国发〔2013〕44号）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《陕西省人民政府关于取消和调整一批行政审批项目的决定》（</w:t>
            </w:r>
            <w:proofErr w:type="gramStart"/>
            <w:r>
              <w:rPr>
                <w:rFonts w:ascii="仿宋_GB2312" w:eastAsia="仿宋_GB2312" w:hAnsi="仿宋_GB2312" w:cs="仿宋_GB2312" w:hint="eastAsia"/>
                <w:kern w:val="0"/>
                <w:szCs w:val="21"/>
              </w:rPr>
              <w:t>陕政发</w:t>
            </w:r>
            <w:proofErr w:type="gramEnd"/>
            <w:r>
              <w:rPr>
                <w:rFonts w:ascii="仿宋_GB2312" w:eastAsia="仿宋_GB2312" w:hAnsi="仿宋_GB2312" w:cs="仿宋_GB2312" w:hint="eastAsia"/>
                <w:kern w:val="0"/>
                <w:szCs w:val="21"/>
              </w:rPr>
              <w:t>〔2015〕6号）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市级财政部门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1283"/>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6</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第三类医疗器械经营许可（第三方物流除外）</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《医疗器械监督管理条例》（国务院令第276号公布，第650号、第680号修订）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市级食品药品监管部门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1079"/>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7</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第三类医疗器械经营许可（第三方物流）</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《医疗器械监督管理条例》（国务院令第276号公布，第650号、第680号修订）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市级食品药品监管部门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1560"/>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lastRenderedPageBreak/>
              <w:t>8</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烟花爆竹批发许可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《烟花爆竹安全管理条例》（国务院令第455号公布，第666号修订）</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《国务院关于第六批取消和调整行政审批项目的决定》（国发〔2012〕52号）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市级安全生产监督管理部门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1154"/>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9</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危险化学品安全使用许可证核发</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《危险化学品安全管理条例》（国务院令第344号公布，第591号、第645号修订）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市级安全生产监督管理部门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1107"/>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10</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道路危险货物运输经营许可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《中华人民共和国道路运输条例》（国务院令第406号公布，第628号、第666号修订）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市级交通运输主管部门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1366"/>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11</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户外广告设施设置审批</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《城市市容和环境卫生管理条例》（国务院令第101号发布，第588号、第676号公布）</w:t>
            </w:r>
          </w:p>
        </w:tc>
        <w:tc>
          <w:tcPr>
            <w:tcW w:w="1325" w:type="dxa"/>
            <w:vAlign w:val="center"/>
          </w:tcPr>
          <w:p w:rsidR="007B4166" w:rsidRDefault="007B4166" w:rsidP="00B92B81">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城市人民政府市容环境卫生行政主管部门或者其他有关部门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市级许可</w:t>
            </w:r>
          </w:p>
        </w:tc>
      </w:tr>
      <w:tr w:rsidR="007B4166" w:rsidTr="00B92B81">
        <w:trPr>
          <w:trHeight w:val="1525"/>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12</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公共汽车和电车客运车辆运营证核发（县区许可事项）</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《国务院对确需保留的行政审批项目设定行政许可的决定》（国务院令第412号）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市、县级交通运输管理部门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完全取消审批</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1233"/>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13</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道路普通货运经营许可（货运出租、搬场运输除外）</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《中华人民共和国道路运输条例》（国务院令第406号公布，第628号、第666号修订）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市、县级交通运输管理部门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3302"/>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lastRenderedPageBreak/>
              <w:t>14</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公共场所卫生许可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《公共场所卫生管理条例》（国发〔1987〕24号）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《公共场所卫生管理条例实施细则》（卫生部令第80号）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《国务院关于第六批取消和调整行政审批项目的决定》（国发〔2012〕52号）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《陕西省人民政府关于取消和调整一批行政审批项目的决定》（</w:t>
            </w:r>
            <w:proofErr w:type="gramStart"/>
            <w:r>
              <w:rPr>
                <w:rFonts w:ascii="仿宋_GB2312" w:eastAsia="仿宋_GB2312" w:hAnsi="仿宋_GB2312" w:cs="仿宋_GB2312" w:hint="eastAsia"/>
                <w:kern w:val="0"/>
                <w:szCs w:val="21"/>
              </w:rPr>
              <w:t>陕政办</w:t>
            </w:r>
            <w:proofErr w:type="gramEnd"/>
            <w:r>
              <w:rPr>
                <w:rFonts w:ascii="仿宋_GB2312" w:eastAsia="仿宋_GB2312" w:hAnsi="仿宋_GB2312" w:cs="仿宋_GB2312" w:hint="eastAsia"/>
                <w:kern w:val="0"/>
                <w:szCs w:val="21"/>
              </w:rPr>
              <w:t>发〔2015〕6号）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市、县级卫生计生部门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1290"/>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15</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道路货运经营许可证核发</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《中华人民共和国道路运输条例》（国务院令第406号公布，第628号、第666号修订）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市、县级交通运输管理部门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1743"/>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16</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道路普通货运经营许可（货运出租、搬场运输）</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《中华人民共和国道路运输条例》（国务院令第406号公布，第628号、第666号修订）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市、县级交通运输管理部门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1590"/>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17</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燃气经营许可证核发</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《城镇燃气管理条例》（国务院令第583号公布，第666号修订）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市、县级人民政府燃气管理部门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2304"/>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lastRenderedPageBreak/>
              <w:t>18</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经营高危险性体育项目许可</w:t>
            </w:r>
          </w:p>
        </w:tc>
        <w:tc>
          <w:tcPr>
            <w:tcW w:w="4213" w:type="dxa"/>
            <w:vAlign w:val="center"/>
          </w:tcPr>
          <w:p w:rsidR="007B4166" w:rsidRDefault="00772380"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《全民健身条例》（国务</w:t>
            </w:r>
            <w:r w:rsidR="007B4166">
              <w:rPr>
                <w:rFonts w:ascii="仿宋_GB2312" w:eastAsia="仿宋_GB2312" w:hAnsi="仿宋_GB2312" w:cs="仿宋_GB2312" w:hint="eastAsia"/>
                <w:kern w:val="0"/>
                <w:szCs w:val="21"/>
              </w:rPr>
              <w:t>院令第560号公布，第666号修订）</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《国务院关于取消和下放一批行政审批项目等事项的决定》（国发〔2013〕19号）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《经营高危险性体育项目许可管理办法》（国家体育总局令第17号公布，第19号、第22号修订）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市、县级体育主管部门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1954"/>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19</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食品生产许可（保健食品、特殊医学用途配方食品、婴幼儿配方食品除外）</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《中华人民共和国食品安全法》</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《食品生产许可管理办法》（国家食品药品监督管理总局令第16号）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《陕西省人民政府关于取消和下放41项行政审批项目的决定》（</w:t>
            </w:r>
            <w:proofErr w:type="gramStart"/>
            <w:r>
              <w:rPr>
                <w:rFonts w:ascii="仿宋_GB2312" w:eastAsia="仿宋_GB2312" w:hAnsi="仿宋_GB2312" w:cs="仿宋_GB2312" w:hint="eastAsia"/>
                <w:kern w:val="0"/>
                <w:szCs w:val="21"/>
              </w:rPr>
              <w:t>陕政发</w:t>
            </w:r>
            <w:proofErr w:type="gramEnd"/>
            <w:r>
              <w:rPr>
                <w:rFonts w:ascii="仿宋_GB2312" w:eastAsia="仿宋_GB2312" w:hAnsi="仿宋_GB2312" w:cs="仿宋_GB2312" w:hint="eastAsia"/>
                <w:kern w:val="0"/>
                <w:szCs w:val="21"/>
              </w:rPr>
              <w:t>〔2014〕13号）</w:t>
            </w:r>
          </w:p>
        </w:tc>
        <w:tc>
          <w:tcPr>
            <w:tcW w:w="1325" w:type="dxa"/>
            <w:vAlign w:val="center"/>
          </w:tcPr>
          <w:p w:rsidR="007B4166" w:rsidRDefault="007B4166" w:rsidP="00B92B81">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市、县级食品药品监督管理部门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1283"/>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20</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食品销售许可、餐饮服务许可（合并为食品经营许可）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《中华人民共和国食品安全法》</w:t>
            </w:r>
          </w:p>
        </w:tc>
        <w:tc>
          <w:tcPr>
            <w:tcW w:w="1325" w:type="dxa"/>
            <w:vAlign w:val="center"/>
          </w:tcPr>
          <w:p w:rsidR="007B4166" w:rsidRDefault="007B4166" w:rsidP="00B92B81">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市、县级食品药品监督管理部门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871"/>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21</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开办药品零售企业审批</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《中华人民共和国药品管理法》</w:t>
            </w:r>
          </w:p>
        </w:tc>
        <w:tc>
          <w:tcPr>
            <w:tcW w:w="1325" w:type="dxa"/>
            <w:vAlign w:val="center"/>
          </w:tcPr>
          <w:p w:rsidR="007B4166" w:rsidRDefault="007B4166" w:rsidP="00B92B81">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市、县级食品药品监督管理部门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1162"/>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22</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危险化学品经营许可证核发</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《危险化学品安全管理条例》（国务院令第344号公布，第591号、第645号修订）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市、县级安全生产监督管理部门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市、县级许可</w:t>
            </w:r>
          </w:p>
        </w:tc>
      </w:tr>
      <w:tr w:rsidR="007B4166" w:rsidTr="00B92B81">
        <w:trPr>
          <w:trHeight w:val="871"/>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23</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出版物出租经营备案</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《出版物市场管理规定》（国家新闻出版广电总局、商务部令10号）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县级政府出版行政主管</w:t>
            </w:r>
            <w:r>
              <w:rPr>
                <w:rFonts w:ascii="仿宋_GB2312" w:eastAsia="仿宋_GB2312" w:hAnsi="仿宋_GB2312" w:cs="仿宋_GB2312" w:hint="eastAsia"/>
                <w:kern w:val="0"/>
                <w:szCs w:val="21"/>
              </w:rPr>
              <w:lastRenderedPageBreak/>
              <w:t>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lastRenderedPageBreak/>
              <w:t>完全取消审批</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871"/>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lastRenderedPageBreak/>
              <w:t>24</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营业性棋牌包房设立许可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《娱乐场所管理条例》（国务院令第458号发布，第666号修订）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县级政府文化主管部门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审批改为备案</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871"/>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25</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营业性棋牌室设立许可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《娱乐场所管理条例》（国务院令第458号发布，第666号修订）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县级政府文化主管部门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审批改为备案</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1162"/>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26</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50平方米以下的小型餐饮的经营许可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《中华人民共和国食品安全法》</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《陕西省食品小作坊小餐饮及摊贩管理条例》</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《陕西省小餐饮管理办法》</w:t>
            </w:r>
          </w:p>
        </w:tc>
        <w:tc>
          <w:tcPr>
            <w:tcW w:w="1325" w:type="dxa"/>
            <w:vAlign w:val="center"/>
          </w:tcPr>
          <w:p w:rsidR="007B4166" w:rsidRDefault="007B4166" w:rsidP="00B92B81">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县级食药监局监管部门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审批改为备案</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2324"/>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27</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电影放映单位设立审批</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《电影管理条例》（国务院令第342号）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《国务院关于第六批取消和调整行政审批项目的决定》（国发〔2012〕52号）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《国务院关于第二批取消152项中央指定地方实施行政审批事项的决定》（国发〔2016〕9号）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县级新闻出版广电行政部门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1162"/>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28</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从事出版物零售业务许可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《出版管理条例》（国务院令第343号公布，第594号、第638号、第653号、第666号修订）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县级新闻出版广电行政部门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1743"/>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lastRenderedPageBreak/>
              <w:t>29</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公章</w:t>
            </w:r>
            <w:proofErr w:type="gramStart"/>
            <w:r>
              <w:rPr>
                <w:rFonts w:ascii="仿宋_GB2312" w:eastAsia="仿宋_GB2312" w:hAnsi="仿宋_GB2312" w:cs="仿宋_GB2312" w:hint="eastAsia"/>
                <w:kern w:val="0"/>
                <w:szCs w:val="21"/>
              </w:rPr>
              <w:t>刻制业</w:t>
            </w:r>
            <w:proofErr w:type="gramEnd"/>
            <w:r>
              <w:rPr>
                <w:rFonts w:ascii="仿宋_GB2312" w:eastAsia="仿宋_GB2312" w:hAnsi="仿宋_GB2312" w:cs="仿宋_GB2312" w:hint="eastAsia"/>
                <w:kern w:val="0"/>
                <w:szCs w:val="21"/>
              </w:rPr>
              <w:t>特种行业许可证核发</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《国务院对确需保留的行政审批项目设定行政许可的决定》（国务院令第412号）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《印铸刻字业暂行管理规则》（1951年8月15日公安部发布）</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县级公安机关</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2439"/>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30</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典当业特种行业许可证核发</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《国务院对确需保留的行政审批项目设定行政许可的决定》（国务院令第412号）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《典当管理办法》（商务部、公安部令2005年第8号）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《国务院关于取消和调整一批行政项目等事项的决定》（国发〔2005〕11号）</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县级公安机关</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1858"/>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31</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旅馆业特种行业许可证核发</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《国务院对确需保留的行政审批项目设定行政许可的决定》（国务院令第412号）</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《旅馆业治安管理办法》（1987年11月10日公安部发布）</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县级公安机关</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1252"/>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32</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道路运输站（场）经营许可证核发</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《中华人民共和国道路运输条例》（国务院令406号公布，第628号、第666号修订）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县级交通运输主管部门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1377"/>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lastRenderedPageBreak/>
              <w:t>33</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机动车维修经营许可</w:t>
            </w:r>
          </w:p>
        </w:tc>
        <w:tc>
          <w:tcPr>
            <w:tcW w:w="4213" w:type="dxa"/>
            <w:vAlign w:val="center"/>
          </w:tcPr>
          <w:p w:rsidR="007B4166" w:rsidRDefault="00772380"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《中华人民共和国道路运输条例》（国务</w:t>
            </w:r>
            <w:bookmarkStart w:id="0" w:name="_GoBack"/>
            <w:bookmarkEnd w:id="0"/>
            <w:r w:rsidR="007B4166">
              <w:rPr>
                <w:rFonts w:ascii="仿宋_GB2312" w:eastAsia="仿宋_GB2312" w:hAnsi="仿宋_GB2312" w:cs="仿宋_GB2312" w:hint="eastAsia"/>
                <w:kern w:val="0"/>
                <w:szCs w:val="21"/>
              </w:rPr>
              <w:t>院令第406号公布、第628号、第666号修订）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县级交通运输管理部门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全面实行告知承诺制</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1440"/>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34</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机动车驾驶员培训业务许可证核发</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《中华人民共和国道路运输条例》（国务院令第406号公布，第628号、第666号修订）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县级交通运输管理部门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2324"/>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35</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港、</w:t>
            </w:r>
            <w:proofErr w:type="gramStart"/>
            <w:r>
              <w:rPr>
                <w:rFonts w:ascii="仿宋_GB2312" w:eastAsia="仿宋_GB2312" w:hAnsi="仿宋_GB2312" w:cs="仿宋_GB2312" w:hint="eastAsia"/>
                <w:kern w:val="0"/>
                <w:szCs w:val="21"/>
              </w:rPr>
              <w:t>澳服务</w:t>
            </w:r>
            <w:proofErr w:type="gramEnd"/>
            <w:r>
              <w:rPr>
                <w:rFonts w:ascii="仿宋_GB2312" w:eastAsia="仿宋_GB2312" w:hAnsi="仿宋_GB2312" w:cs="仿宋_GB2312" w:hint="eastAsia"/>
                <w:kern w:val="0"/>
                <w:szCs w:val="21"/>
              </w:rPr>
              <w:t>提供者在内地设立互联网上网服务营业场所审批</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《互联网上网服务营业场所管理条例》（国务院令第363号公布，第666号修订）</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《&lt;内地与香港关于建立更紧密经贸关系的安排&gt;补充协议九》</w:t>
            </w:r>
          </w:p>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《&lt;内地与澳门关于建立更紧密经贸关系的安排&gt;补充协议九》</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县级文化主管部门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871"/>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36</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歌舞娱乐场所设立审批</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《娱乐场所管理条例》（国务院令第458号发布，第666号修订）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县级政府文化主管部门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871"/>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37</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游艺娱乐场所设立审批</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《娱乐场所管理条例》（国务院令第458号发布，第666号修订）</w:t>
            </w:r>
          </w:p>
        </w:tc>
        <w:tc>
          <w:tcPr>
            <w:tcW w:w="132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县级政府文化主管部门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提高透明度和</w:t>
            </w:r>
            <w:proofErr w:type="gramStart"/>
            <w:r>
              <w:rPr>
                <w:rFonts w:ascii="仿宋_GB2312" w:eastAsia="仿宋_GB2312" w:hAnsi="仿宋_GB2312" w:cs="仿宋_GB2312" w:hint="eastAsia"/>
                <w:kern w:val="0"/>
                <w:szCs w:val="21"/>
              </w:rPr>
              <w:t>可</w:t>
            </w:r>
            <w:proofErr w:type="gramEnd"/>
            <w:r>
              <w:rPr>
                <w:rFonts w:ascii="仿宋_GB2312" w:eastAsia="仿宋_GB2312" w:hAnsi="仿宋_GB2312" w:cs="仿宋_GB2312" w:hint="eastAsia"/>
                <w:kern w:val="0"/>
                <w:szCs w:val="21"/>
              </w:rPr>
              <w:t>预期性</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r w:rsidR="007B4166" w:rsidTr="00B92B81">
        <w:trPr>
          <w:trHeight w:val="871"/>
        </w:trPr>
        <w:tc>
          <w:tcPr>
            <w:tcW w:w="6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38</w:t>
            </w:r>
          </w:p>
        </w:tc>
        <w:tc>
          <w:tcPr>
            <w:tcW w:w="2400"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烟花爆竹零售许可</w:t>
            </w:r>
          </w:p>
        </w:tc>
        <w:tc>
          <w:tcPr>
            <w:tcW w:w="4213" w:type="dxa"/>
            <w:vAlign w:val="center"/>
          </w:tcPr>
          <w:p w:rsidR="007B4166" w:rsidRDefault="007B4166" w:rsidP="00B92B81">
            <w:pPr>
              <w:widowControl/>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《烟花爆竹安全管理条例》（国务院令第455号公布，第666号修订）</w:t>
            </w:r>
          </w:p>
        </w:tc>
        <w:tc>
          <w:tcPr>
            <w:tcW w:w="1325" w:type="dxa"/>
            <w:vAlign w:val="center"/>
          </w:tcPr>
          <w:p w:rsidR="007B4166" w:rsidRDefault="007B4166" w:rsidP="00B92B81">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县级安全生产监督管理部门</w:t>
            </w:r>
          </w:p>
        </w:tc>
        <w:tc>
          <w:tcPr>
            <w:tcW w:w="9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87"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038"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1200"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w:t>
            </w:r>
          </w:p>
        </w:tc>
        <w:tc>
          <w:tcPr>
            <w:tcW w:w="801"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强化准入监管</w:t>
            </w:r>
          </w:p>
        </w:tc>
        <w:tc>
          <w:tcPr>
            <w:tcW w:w="765" w:type="dxa"/>
            <w:vAlign w:val="center"/>
          </w:tcPr>
          <w:p w:rsidR="007B4166" w:rsidRDefault="007B4166" w:rsidP="00B92B81">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县级许可</w:t>
            </w:r>
          </w:p>
        </w:tc>
      </w:tr>
    </w:tbl>
    <w:p w:rsidR="00C22C67" w:rsidRDefault="00C22C67"/>
    <w:sectPr w:rsidR="00C22C67" w:rsidSect="00B255E4">
      <w:headerReference w:type="default" r:id="rId7"/>
      <w:footerReference w:type="even" r:id="rId8"/>
      <w:footerReference w:type="default" r:id="rId9"/>
      <w:pgSz w:w="16838" w:h="11906" w:orient="landscape" w:code="9"/>
      <w:pgMar w:top="1474" w:right="1985" w:bottom="1474" w:left="2041" w:header="851" w:footer="1588"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8DB" w:rsidRDefault="006828DB" w:rsidP="007B4166">
      <w:r>
        <w:separator/>
      </w:r>
    </w:p>
  </w:endnote>
  <w:endnote w:type="continuationSeparator" w:id="0">
    <w:p w:rsidR="006828DB" w:rsidRDefault="006828DB" w:rsidP="007B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BA7" w:rsidRDefault="006828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BA7" w:rsidRDefault="006828DB" w:rsidP="00B255E4">
    <w:pPr>
      <w:pStyle w:val="a4"/>
      <w:tabs>
        <w:tab w:val="clear" w:pos="8306"/>
        <w:tab w:val="right" w:pos="12758"/>
      </w:tabs>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8DB" w:rsidRDefault="006828DB" w:rsidP="007B4166">
      <w:r>
        <w:separator/>
      </w:r>
    </w:p>
  </w:footnote>
  <w:footnote w:type="continuationSeparator" w:id="0">
    <w:p w:rsidR="006828DB" w:rsidRDefault="006828DB" w:rsidP="007B4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BA7" w:rsidRPr="0052477C" w:rsidRDefault="006828DB" w:rsidP="0052477C">
    <w:pPr>
      <w:spacing w:line="540" w:lineRule="exact"/>
      <w:rPr>
        <w:rFonts w:ascii="方正小标宋简体" w:eastAsia="方正小标宋简体"/>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A7B"/>
    <w:rsid w:val="006828DB"/>
    <w:rsid w:val="00715A7B"/>
    <w:rsid w:val="00772380"/>
    <w:rsid w:val="007B4166"/>
    <w:rsid w:val="00C22C67"/>
    <w:rsid w:val="00C811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16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41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B4166"/>
    <w:rPr>
      <w:sz w:val="18"/>
      <w:szCs w:val="18"/>
    </w:rPr>
  </w:style>
  <w:style w:type="paragraph" w:styleId="a4">
    <w:name w:val="footer"/>
    <w:basedOn w:val="a"/>
    <w:link w:val="Char0"/>
    <w:uiPriority w:val="99"/>
    <w:unhideWhenUsed/>
    <w:qFormat/>
    <w:rsid w:val="007B41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B416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16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41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B4166"/>
    <w:rPr>
      <w:sz w:val="18"/>
      <w:szCs w:val="18"/>
    </w:rPr>
  </w:style>
  <w:style w:type="paragraph" w:styleId="a4">
    <w:name w:val="footer"/>
    <w:basedOn w:val="a"/>
    <w:link w:val="Char0"/>
    <w:uiPriority w:val="99"/>
    <w:unhideWhenUsed/>
    <w:qFormat/>
    <w:rsid w:val="007B41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B41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686</Words>
  <Characters>3912</Characters>
  <Application>Microsoft Office Word</Application>
  <DocSecurity>0</DocSecurity>
  <Lines>32</Lines>
  <Paragraphs>9</Paragraphs>
  <ScaleCrop>false</ScaleCrop>
  <Company>China</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微软用户</cp:lastModifiedBy>
  <cp:revision>3</cp:revision>
  <dcterms:created xsi:type="dcterms:W3CDTF">2018-09-28T07:23:00Z</dcterms:created>
  <dcterms:modified xsi:type="dcterms:W3CDTF">2024-01-08T03:23:00Z</dcterms:modified>
</cp:coreProperties>
</file>