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61F9DE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安康市2024年政府决算公开情况说明</w:t>
      </w:r>
    </w:p>
    <w:p w14:paraId="1206B3BE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18A2D99">
      <w:pPr>
        <w:pStyle w:val="8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第一部分</w:t>
      </w:r>
    </w:p>
    <w:p w14:paraId="541DC3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安康市2024年转移支付执行情况说明</w:t>
      </w:r>
    </w:p>
    <w:p w14:paraId="37861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202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年，中省下达我市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一般公共预算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转移支付资金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333.82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亿元，其中：返还性收入4.97亿元，一般性转移支付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290.98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亿元，专项转移支付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37.87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亿元。市级财政坚持财力向基层倾斜，进一步加大对县区的转移支付力度。202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年，下达县区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一</w:t>
      </w:r>
      <w:bookmarkStart w:id="0" w:name="_GoBack"/>
      <w:bookmarkEnd w:id="0"/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般公共预算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转移支付资金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289.85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亿元，其中：返还性支出2.98亿元，一般性转移支付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250.85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亿元，专项转移支付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36.02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亿元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。</w:t>
      </w:r>
    </w:p>
    <w:p w14:paraId="652EBF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第二部分</w:t>
      </w:r>
    </w:p>
    <w:p w14:paraId="6C750A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2024年全市和市级政府债务有关情况</w:t>
      </w:r>
    </w:p>
    <w:p w14:paraId="7AA80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 xml:space="preserve">（一）全市政府债务情况 </w:t>
      </w:r>
    </w:p>
    <w:p w14:paraId="5D886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2024年，安康市地方政府债务限额为658.15亿元，其中：一般债务限额362.77亿元，专项债务限额295.38亿元。截至2024年底，安康市政府债务余额641亿元，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其中：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一般债务余额353.61亿元，专项债务余额287.39亿元。2024年到期债券本金26.93亿元，其中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通过再融资偿还22.62亿元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自行偿还4.31亿元。偿还到期债券利息14.39亿元，其中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一般债券利息7.66亿元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专项债券利息6.73亿元。</w:t>
      </w:r>
    </w:p>
    <w:p w14:paraId="2C3DB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年，安康市发行地方政府新增债券72.89亿元，其中：新增一般债券20.99亿元，新增专项债券51.9亿元。新增一般债券主要用于市政建设、公路、生态建设和环境保护、教育、文化、新型基础设施等公益项目资本性支出；新增专项债券主要用于交通基础设施、生态环保、社会事业、城乡冷链物流基础设施、市政和产业园区基础设施、保障性安居工程和新能源项目，均为有一定收益的资本性项目。这些债券项目保障了全市在建项目后续融资，优化了中心城区及县域基础设施布局，为安康市经济社会高质量发展注入了强劲动力。</w:t>
      </w:r>
    </w:p>
    <w:p w14:paraId="51C2C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（二）市本级政府债务情况</w:t>
      </w:r>
    </w:p>
    <w:p w14:paraId="3C3A0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2024年，市本级地方政府债务限额为216.23亿元，其中：一般债务限额112.81亿元，专项债务限额103.42亿元。发行地方政府新增债券16.45亿元，其中：新增一般债券9.26亿元，新增专项债券7.19亿元。截至2024年底，市本级政府债务余额143.9亿元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其中：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一般债务余额107.33亿元，专项债务余额36.57亿元。2024年到期债券本金5.5亿元，全部通过再融资偿还。偿还到期债券利息4.13亿元，其中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一般债券利息3.39亿元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专项债券利息0.74亿元。</w:t>
      </w:r>
    </w:p>
    <w:p w14:paraId="1FE12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第三部分</w:t>
      </w:r>
    </w:p>
    <w:p w14:paraId="3F84E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2024年安康市预算绩效管理开展情况</w:t>
      </w:r>
    </w:p>
    <w:p w14:paraId="3ED0D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年，在市委、市政府的坚强领导下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省财政厅的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有力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指导下，市财政局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坚持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靶向发力、精准施策，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全力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推动预算绩效管理水平持续提升。</w:t>
      </w:r>
    </w:p>
    <w:p w14:paraId="1C28D6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</w:rPr>
        <w:t>坚持不懈抓制度建设，夯实基础保障</w:t>
      </w:r>
    </w:p>
    <w:p w14:paraId="5D3379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坚持把强化制度建设作为推进预算绩效管理工作的重要抓手，组织指导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全市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各级财政部门认真学习中省制度文件，积极借鉴其他省份和省内兄弟地市（区）先进经验做法，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完善我市绩效管理制度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。先后印发《安康市财政局关于印发市级预算绩效评价结果应用实施细则（试行）》《市级民生实事票决项目监督工作方案》《安康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分行业分领域绩效指标和标准体系》等11项规章制度，通过不断丰富和优化预算绩效管理制度体系，为我市预算绩效管理工作的深度推进夯实了基础保障。</w:t>
      </w:r>
    </w:p>
    <w:p w14:paraId="1A4B6309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shd w:val="clear" w:color="auto" w:fill="auto"/>
          <w:lang w:val="en-US" w:eastAsia="zh-CN"/>
        </w:rPr>
        <w:t>（二）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shd w:val="clear" w:color="auto" w:fill="auto"/>
        </w:rPr>
        <w:t>扩围提质抓业务培训，强化管理能力</w:t>
      </w:r>
    </w:p>
    <w:p w14:paraId="292ADADE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创新性</w:t>
      </w:r>
      <w:r>
        <w:rPr>
          <w:rFonts w:hint="eastAsia" w:ascii="仿宋_GB2312" w:hAnsi="仿宋_GB2312" w:cs="仿宋_GB2312"/>
          <w:color w:val="auto"/>
          <w:sz w:val="32"/>
          <w:szCs w:val="32"/>
          <w:shd w:val="clear" w:color="auto" w:fill="FFFFFF"/>
          <w:lang w:eastAsia="zh-CN"/>
        </w:rPr>
        <w:t>地在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各县区、市级各部门开展“小场子”培训，实现业务培训经常化、日常化，推动预算绩效管理培训工作扩围提质。近年来，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市财政局组建内部培训团队，赴旬阳市、石泉县、镇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</w:rPr>
        <w:t>坪县、安康消防支队、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shd w:val="clear" w:color="auto" w:fill="FFFFFF"/>
          <w:lang w:bidi="ar"/>
        </w:rPr>
        <w:t>瀛湖示范区等县（市、区）对县级财政及行业部门进行授课。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累计参训人员达1000余人次，培训对象涵盖全市财政系统干部职工、各预算单位相关领导和业务人员、全市从事预算绩效管理的第三方机构人员，培训层级从市级延伸到乡镇、社区和各项资金使用终端。</w:t>
      </w:r>
    </w:p>
    <w:p w14:paraId="548187F6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楷体" w:hAnsi="楷体" w:eastAsia="楷体" w:cs="楷体"/>
          <w:b w:val="0"/>
          <w:bCs w:val="0"/>
          <w:color w:val="auto"/>
          <w:szCs w:val="32"/>
          <w:shd w:val="clear" w:color="auto" w:fill="auto"/>
        </w:rPr>
      </w:pPr>
      <w:r>
        <w:rPr>
          <w:rFonts w:hint="eastAsia" w:ascii="楷体" w:hAnsi="楷体" w:eastAsia="楷体" w:cs="楷体"/>
          <w:b w:val="0"/>
          <w:bCs w:val="0"/>
          <w:color w:val="auto"/>
          <w:szCs w:val="32"/>
          <w:shd w:val="clear" w:color="auto" w:fill="auto"/>
          <w:lang w:val="en-US" w:eastAsia="zh-CN"/>
        </w:rPr>
        <w:t>（三）</w:t>
      </w:r>
      <w:r>
        <w:rPr>
          <w:rFonts w:hint="eastAsia" w:ascii="楷体" w:hAnsi="楷体" w:eastAsia="楷体" w:cs="楷体"/>
          <w:b w:val="0"/>
          <w:bCs w:val="0"/>
          <w:color w:val="auto"/>
          <w:szCs w:val="32"/>
          <w:shd w:val="clear" w:color="auto" w:fill="auto"/>
        </w:rPr>
        <w:t>靶向发力抓流程管理，提升工作质效</w:t>
      </w:r>
    </w:p>
    <w:p w14:paraId="4F9CDABA"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Cs w:val="32"/>
        </w:rPr>
        <w:t>聚焦预算绩效事前、事中、事后全过程管理，紧盯关键环节，稳步推进预算绩效管理工作。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Cs w:val="32"/>
          <w:lang w:val="en-US" w:eastAsia="zh-CN" w:bidi="ar-SA"/>
        </w:rPr>
        <w:t>一是事前绩效评估环节。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组织开展“市数据局智慧治理项目”“市机场办航线补贴项目”“市创业就业服务中心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就业创业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项目”3个项目的事前绩效评估试点工作，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围绕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项目的立项必要性、投入经济性、方案可行性、筹资合规性、目标科学性等进行全面测算与研判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3个项目共申报预算1.39亿元，评估建议预算9219.71万元，审减资金4005.29万元。通过前置性评估环节，切实提升财政资源配置的精准度与资金使用的综合效益。市本级形成绩效评估和专项债券评估相融合的工作模式，对申请新增专项债券项目累计开展5次评审工作，共评审专项债券项目61个，涉及资金39.03亿元。</w:t>
      </w:r>
      <w:r>
        <w:rPr>
          <w:rFonts w:hint="eastAsia" w:ascii="仿宋_GB2312" w:hAnsi="仿宋_GB2312" w:cs="仿宋_GB2312"/>
          <w:b/>
          <w:bCs/>
          <w:color w:val="auto"/>
          <w:kern w:val="2"/>
          <w:szCs w:val="32"/>
          <w:lang w:val="en-US" w:eastAsia="zh-CN" w:bidi="ar-SA"/>
        </w:rPr>
        <w:t>二是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Cs w:val="32"/>
          <w:lang w:val="en-US" w:eastAsia="zh-CN" w:bidi="ar-SA"/>
        </w:rPr>
        <w:t>绩效目标管理环节。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开展2024年度市本级专项资金预算绩效目标集中审核工作，集中审核完成市本级89个部门共计793个项目，审核通过564个项目，审减229个项目。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Cs w:val="32"/>
          <w:lang w:val="en-US" w:eastAsia="zh-CN" w:bidi="ar-SA"/>
        </w:rPr>
        <w:t>三是事中监控环节。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扎实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开展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绩效监控工作，对所有预算资金和人大、政府关注的6个民生实事项目的财政资金预算执行进度和绩效完成情况开展“双监控”，发现绩效目标偏离、资金使用效益低下以及存在其他问题，及时纠偏并督促落实整改，形成“监督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反馈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整改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提升绩效”的良性循环机制，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促进提升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资金使用效益。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</w:rPr>
        <w:t>四是事后评价环节。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印发了《关于开展2024年度市级重点绩效评价工作的通知》，在绩效自评全覆盖基础上，选取7个重点项目和5个部门开展财政重点绩效评价工作。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  <w:lang w:eastAsia="zh-CN"/>
        </w:rPr>
        <w:t>五</w:t>
      </w:r>
      <w:r>
        <w:rPr>
          <w:rFonts w:hint="eastAsia" w:ascii="仿宋_GB2312" w:hAnsi="仿宋_GB2312" w:cs="仿宋_GB2312"/>
          <w:b/>
          <w:bCs/>
          <w:color w:val="auto"/>
          <w:szCs w:val="32"/>
          <w:lang w:eastAsia="zh-CN"/>
        </w:rPr>
        <w:t>是</w:t>
      </w:r>
      <w:r>
        <w:rPr>
          <w:rFonts w:hint="eastAsia" w:ascii="仿宋_GB2312" w:hAnsi="仿宋_GB2312" w:eastAsia="仿宋_GB2312" w:cs="仿宋_GB2312"/>
          <w:b/>
          <w:bCs/>
          <w:color w:val="auto"/>
          <w:szCs w:val="32"/>
        </w:rPr>
        <w:t>评价结果运用环节。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坚持问题导向、结果导向，围绕预算绩效评价结果，建立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起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包括反馈整改、报告通报、与预算安排挂钩、公开公示、约谈问责等一整套绩效评价结果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运用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机制，同步建立评价结果奖惩运用机制，实行绩效评价结果与今后年度预算安排、政策调整</w:t>
      </w:r>
      <w:r>
        <w:rPr>
          <w:rFonts w:hint="eastAsia" w:ascii="仿宋_GB2312" w:hAnsi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以及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Cs w:val="32"/>
          <w:lang w:val="en-US" w:eastAsia="zh-CN" w:bidi="ar-SA"/>
        </w:rPr>
        <w:t>对下转移支付资金分配挂钩机制；针对评价发现的问题建立闭环整改机制，明确责任单位与整改时限，并按规定公开非涉密结果接受监督，推动有限的财政资金配置更精准、使用更高效。</w:t>
      </w:r>
    </w:p>
    <w:p w14:paraId="5ECE2267">
      <w:pPr>
        <w:widowControl/>
        <w:numPr>
          <w:ilvl w:val="0"/>
          <w:numId w:val="0"/>
        </w:numPr>
        <w:spacing w:line="560" w:lineRule="atLeast"/>
        <w:ind w:firstLine="632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shd w:val="clear"/>
          <w:lang w:eastAsia="zh-CN"/>
        </w:rPr>
        <w:t>下一步，将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聚焦市委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市政府工作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部署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开展财政重点绩效评价，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shd w:val="clear"/>
          <w:lang w:eastAsia="zh-CN"/>
        </w:rPr>
        <w:t>持续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深化重点领域绩效管理改革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以财政绩效管理试点工作为抓手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，探索构建“预算申请问成本、预算编制核成本、预算执行控成本、预算完成评成本、评价完成定标准”的成本预算绩效管理体系，提高预算管理效率和资金使用效益。</w:t>
      </w:r>
    </w:p>
    <w:p w14:paraId="1B7B652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/>
        <w:jc w:val="center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第四部分</w:t>
      </w:r>
    </w:p>
    <w:p w14:paraId="7056DF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安康市本级202</w:t>
      </w:r>
      <w:r>
        <w:rPr>
          <w:rFonts w:hint="eastAsia" w:ascii="黑体" w:hAnsi="黑体" w:eastAsia="黑体" w:cs="黑体"/>
          <w:lang w:val="en-US" w:eastAsia="zh-CN"/>
        </w:rPr>
        <w:t>4</w:t>
      </w:r>
      <w:r>
        <w:rPr>
          <w:rFonts w:hint="eastAsia" w:ascii="黑体" w:hAnsi="黑体" w:eastAsia="黑体" w:cs="黑体"/>
        </w:rPr>
        <w:t xml:space="preserve"> 年“三公”经费决算情况</w:t>
      </w:r>
    </w:p>
    <w:p w14:paraId="3E4FC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（一）基本情况</w:t>
      </w:r>
    </w:p>
    <w:p w14:paraId="0D98D5C9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left="0" w:leftChars="0" w:right="0" w:rightChars="0" w:firstLine="632" w:firstLineChars="200"/>
        <w:jc w:val="both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经202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年部门决算汇总统计，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年市本级行政事业单位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支出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3041.50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万元，其中：因公出国（境）费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123.85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万元；公务用车购置及运行维护费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2301.59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万元（包括公务用车购置费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631.40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万元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公务用车运行及维护费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1670.19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万元）；公务接待费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616.06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万元。</w:t>
      </w:r>
    </w:p>
    <w:p w14:paraId="507F80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（二）较2024年预算数</w:t>
      </w:r>
    </w:p>
    <w:p w14:paraId="1565F02F"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市本级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“三公”经费预算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3600万元，其中：因公出国经费预算180万元；公务用车购置和运行维护费预算1800万元；公务接待费预算1620万元。市本级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“三公”经费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决算数完成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年预算的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84.49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%。</w:t>
      </w:r>
    </w:p>
    <w:p w14:paraId="616DE3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jc w:val="left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（三）较2023年决算数</w:t>
      </w:r>
    </w:p>
    <w:p w14:paraId="0518E9D3"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2024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年市本级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“三公”经费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较上年减少459.47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万元，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下降13.12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%。其中：因公出国（境）经费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73.33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万元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，增长145.14%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；公务用车购置及运行维护费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下降546.67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下降19.19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%（其中公务用车购置费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减少381.86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下降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37.69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%；公务用车运行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及维护费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减少164.81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万元，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下降8.98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%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）；公务接待费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13.87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万元，增长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2.30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%。</w:t>
      </w:r>
    </w:p>
    <w:p w14:paraId="61F11742">
      <w:pPr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textAlignment w:val="auto"/>
        <w:rPr>
          <w:rFonts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因公出国（境）经费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的主要原因是：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2023年上半年疫情防控转变初期，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因公出国（境）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公务活动较少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，本年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不受疫情影响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，相应的海外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招商等因公出国（境）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活动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正常开展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。</w:t>
      </w:r>
    </w:p>
    <w:p w14:paraId="34917463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atLeast"/>
        <w:ind w:left="0" w:leftChars="0" w:right="0" w:rightChars="0" w:firstLine="632" w:firstLineChars="200"/>
        <w:jc w:val="both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公务接待费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增加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的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主要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原因</w:t>
      </w:r>
      <w:r>
        <w:rPr>
          <w:rFonts w:hint="eastAsia" w:ascii="仿宋_GB2312"/>
          <w:color w:val="auto"/>
          <w:kern w:val="0"/>
          <w:sz w:val="32"/>
          <w:szCs w:val="32"/>
          <w:lang w:eastAsia="zh-CN"/>
        </w:rPr>
        <w:t>是：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本年各部门履职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的各项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公务活动恢复，跨地区交流频次增加，公务接待费疫情后出现恢复性增长。</w:t>
      </w:r>
    </w:p>
    <w:p w14:paraId="03A282E2">
      <w:pPr>
        <w:keepNext w:val="0"/>
        <w:keepLines w:val="0"/>
        <w:pageBreakBefore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textAlignment w:val="auto"/>
        <w:rPr>
          <w:color w:val="auto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202</w:t>
      </w:r>
      <w:r>
        <w:rPr>
          <w:rFonts w:hint="eastAsia" w:ascii="仿宋_GB2312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年，我市将进一步采取有力措施，加强监管，从严从紧核定“三公”经费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预算，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确保“三公”经费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只减不增。</w:t>
      </w:r>
    </w:p>
    <w:p w14:paraId="6C8A7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 w14:paraId="0336D2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32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E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48EA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A6790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A6790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revisionView w:markup="0"/>
  <w:trackRevisions w:val="1"/>
  <w:documentProtection w:enforcement="0"/>
  <w:defaultTabStop w:val="420"/>
  <w:drawingGridHorizontalSpacing w:val="158"/>
  <w:drawingGridVerticalSpacing w:val="29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lZWRiOGI4NzU5OTM5ODY2ZWFhNjFmNTlkMTYyYjMifQ=="/>
  </w:docVars>
  <w:rsids>
    <w:rsidRoot w:val="00000000"/>
    <w:rsid w:val="121962DB"/>
    <w:rsid w:val="12723F0B"/>
    <w:rsid w:val="1703741D"/>
    <w:rsid w:val="1A040ECC"/>
    <w:rsid w:val="1BED432C"/>
    <w:rsid w:val="1E57224B"/>
    <w:rsid w:val="210239CD"/>
    <w:rsid w:val="218C5DE2"/>
    <w:rsid w:val="21A07544"/>
    <w:rsid w:val="228F032E"/>
    <w:rsid w:val="28E103E0"/>
    <w:rsid w:val="40813382"/>
    <w:rsid w:val="435A0C02"/>
    <w:rsid w:val="5D1D6A17"/>
    <w:rsid w:val="69C94A19"/>
    <w:rsid w:val="6AC657B6"/>
    <w:rsid w:val="6EE54E44"/>
    <w:rsid w:val="77740AAD"/>
    <w:rsid w:val="79876B07"/>
    <w:rsid w:val="7AB17EB7"/>
    <w:rsid w:val="7FD2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Char"/>
    <w:basedOn w:val="1"/>
    <w:qFormat/>
    <w:uiPriority w:val="0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2782</Words>
  <Characters>3142</Characters>
  <Lines>0</Lines>
  <Paragraphs>0</Paragraphs>
  <TotalTime>14</TotalTime>
  <ScaleCrop>false</ScaleCrop>
  <LinksUpToDate>false</LinksUpToDate>
  <CharactersWithSpaces>3144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2024-08-07T01:58:00Z</dcterms:created>
  <dc:creator>Administrator</dc:creator>
  <cp:lastModifiedBy>WPS_1730948483</cp:lastModifiedBy>
  <cp:lastPrinted>2025-09-10T02:24:15Z</cp:lastPrinted>
  <dcterms:modified xsi:type="dcterms:W3CDTF">2025-09-10T02:24:31Z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6A50F780E7424C5DB7444A53B7F17733_13</vt:lpwstr>
  </property>
  <property fmtid="{D5CDD505-2E9C-101B-9397-08002B2CF9AE}" pid="4" name="KSOTemplateDocerSaveRecord">
    <vt:lpwstr>eyJoZGlkIjoiNzdlZWRiOGI4NzU5OTM5ODY2ZWFhNjFmNTlkMTYyYjMiLCJ1c2VySWQiOiIxNjU0MTMwNzA3In0=</vt:lpwstr>
  </property>
</Properties>
</file>